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2F7C" w:rsidRDefault="009728FE" w:rsidP="009728FE">
      <w:pPr>
        <w:jc w:val="center"/>
        <w:rPr>
          <w:b/>
          <w:smallCaps/>
          <w:lang w:val="fr-BE"/>
        </w:rPr>
      </w:pPr>
      <w:r w:rsidRPr="009728FE">
        <w:rPr>
          <w:b/>
          <w:smallCaps/>
          <w:lang w:val="fr-BE"/>
        </w:rPr>
        <w:t>Tableau synoptique et synthétique des</w:t>
      </w:r>
      <w:r w:rsidR="00AC00FA">
        <w:rPr>
          <w:b/>
          <w:smallCaps/>
          <w:lang w:val="fr-BE"/>
        </w:rPr>
        <w:t xml:space="preserve"> clauses abusives dans le cadre</w:t>
      </w:r>
      <w:r w:rsidRPr="009728FE">
        <w:rPr>
          <w:b/>
          <w:smallCaps/>
          <w:lang w:val="fr-BE"/>
        </w:rPr>
        <w:t xml:space="preserve"> des relations B2C et B2B</w:t>
      </w:r>
      <w:r w:rsidR="00AC00FA">
        <w:rPr>
          <w:rStyle w:val="Appelnotedebasdep"/>
          <w:b/>
          <w:smallCaps/>
          <w:lang w:val="fr-BE"/>
        </w:rPr>
        <w:footnoteReference w:id="1"/>
      </w:r>
    </w:p>
    <w:p w:rsidR="00917C6F" w:rsidRDefault="00917C6F" w:rsidP="009D09C0">
      <w:pPr>
        <w:jc w:val="center"/>
        <w:rPr>
          <w:smallCaps/>
          <w:lang w:val="fr-BE"/>
        </w:rPr>
      </w:pPr>
      <w:r>
        <w:rPr>
          <w:lang w:val="fr-BE"/>
        </w:rPr>
        <w:t xml:space="preserve">Jean </w:t>
      </w:r>
      <w:r w:rsidRPr="00E908F7">
        <w:rPr>
          <w:smallCaps/>
          <w:lang w:val="fr-BE"/>
        </w:rPr>
        <w:t>van Zuylen</w:t>
      </w:r>
      <w:r w:rsidR="00710425">
        <w:rPr>
          <w:rStyle w:val="Appelnotedebasdep"/>
          <w:smallCaps/>
          <w:lang w:val="fr-BE"/>
        </w:rPr>
        <w:footnoteReference w:id="2"/>
      </w:r>
    </w:p>
    <w:p w:rsidR="00917C6F" w:rsidRPr="00E908F7" w:rsidRDefault="00812CD2" w:rsidP="009D09C0">
      <w:pPr>
        <w:jc w:val="center"/>
        <w:rPr>
          <w:lang w:val="fr-BE"/>
        </w:rPr>
      </w:pPr>
      <w:r>
        <w:rPr>
          <w:lang w:val="fr-BE"/>
        </w:rPr>
        <w:t>C</w:t>
      </w:r>
      <w:r w:rsidR="00917C6F">
        <w:rPr>
          <w:lang w:val="fr-BE"/>
        </w:rPr>
        <w:t>hargé d’enseignement</w:t>
      </w:r>
      <w:r w:rsidR="00232E4C">
        <w:rPr>
          <w:lang w:val="fr-BE"/>
        </w:rPr>
        <w:t xml:space="preserve"> </w:t>
      </w:r>
      <w:r w:rsidR="00507310">
        <w:rPr>
          <w:lang w:val="fr-BE"/>
        </w:rPr>
        <w:t xml:space="preserve">suppléant </w:t>
      </w:r>
      <w:r w:rsidR="00232E4C">
        <w:rPr>
          <w:lang w:val="fr-BE"/>
        </w:rPr>
        <w:t>et doctorant</w:t>
      </w:r>
      <w:r w:rsidR="00917C6F">
        <w:rPr>
          <w:lang w:val="fr-BE"/>
        </w:rPr>
        <w:t xml:space="preserve"> à l’Université Saint-Louis – Bruxelles</w:t>
      </w:r>
      <w:r>
        <w:rPr>
          <w:lang w:val="fr-BE"/>
        </w:rPr>
        <w:t>, c</w:t>
      </w:r>
      <w:r w:rsidRPr="00E908F7">
        <w:rPr>
          <w:lang w:val="fr-BE"/>
        </w:rPr>
        <w:t xml:space="preserve">onseiller juridique </w:t>
      </w:r>
      <w:proofErr w:type="spellStart"/>
      <w:r w:rsidRPr="00E908F7">
        <w:rPr>
          <w:lang w:val="fr-BE"/>
        </w:rPr>
        <w:t>Fednot</w:t>
      </w:r>
      <w:proofErr w:type="spellEnd"/>
    </w:p>
    <w:p w:rsidR="00917C6F" w:rsidRDefault="00917C6F" w:rsidP="009728FE">
      <w:pPr>
        <w:jc w:val="center"/>
        <w:rPr>
          <w:b/>
          <w:smallCaps/>
          <w:lang w:val="fr-BE"/>
        </w:rPr>
      </w:pPr>
    </w:p>
    <w:p w:rsidR="000F2F80" w:rsidRPr="005E5421" w:rsidRDefault="000F2F80" w:rsidP="00821E9A">
      <w:pPr>
        <w:rPr>
          <w:b/>
          <w:smallCaps/>
          <w:lang w:val="fr-BE"/>
        </w:rPr>
      </w:pPr>
    </w:p>
    <w:p w:rsidR="009728FE" w:rsidRPr="009728FE" w:rsidRDefault="000F2F80" w:rsidP="009D09C0">
      <w:pPr>
        <w:rPr>
          <w:b/>
          <w:smallCaps/>
          <w:lang w:val="fr-BE"/>
        </w:rPr>
      </w:pPr>
      <w:r w:rsidRPr="005E5421">
        <w:rPr>
          <w:b/>
          <w:caps/>
          <w:lang w:val="fr-BE"/>
        </w:rPr>
        <w:t>n.b</w:t>
      </w:r>
      <w:r w:rsidRPr="005E5421">
        <w:rPr>
          <w:b/>
          <w:smallCaps/>
          <w:lang w:val="fr-BE"/>
        </w:rPr>
        <w:t xml:space="preserve">. : </w:t>
      </w:r>
      <w:r w:rsidRPr="005E5421">
        <w:rPr>
          <w:b/>
          <w:lang w:val="fr-BE"/>
        </w:rPr>
        <w:t xml:space="preserve">Les dispositions visées ci-dessous sont, </w:t>
      </w:r>
      <w:r w:rsidR="00220A19" w:rsidRPr="005E5421">
        <w:rPr>
          <w:b/>
          <w:lang w:val="fr-BE"/>
        </w:rPr>
        <w:t>en</w:t>
      </w:r>
      <w:r w:rsidRPr="005E5421">
        <w:rPr>
          <w:b/>
          <w:lang w:val="fr-BE"/>
        </w:rPr>
        <w:t xml:space="preserve"> principe, </w:t>
      </w:r>
      <w:r w:rsidR="00220A19" w:rsidRPr="005E5421">
        <w:rPr>
          <w:b/>
          <w:lang w:val="fr-BE"/>
        </w:rPr>
        <w:t xml:space="preserve">également </w:t>
      </w:r>
      <w:r w:rsidRPr="005E5421">
        <w:rPr>
          <w:b/>
          <w:lang w:val="fr-BE"/>
        </w:rPr>
        <w:t>applicables aux contrats « immobiliers » (sauf indication contraire expresse)</w:t>
      </w:r>
    </w:p>
    <w:tbl>
      <w:tblPr>
        <w:tblStyle w:val="Grilledutableau"/>
        <w:tblW w:w="0" w:type="auto"/>
        <w:tblLook w:val="04A0" w:firstRow="1" w:lastRow="0" w:firstColumn="1" w:lastColumn="0" w:noHBand="0" w:noVBand="1"/>
      </w:tblPr>
      <w:tblGrid>
        <w:gridCol w:w="4248"/>
        <w:gridCol w:w="4252"/>
        <w:gridCol w:w="4395"/>
      </w:tblGrid>
      <w:tr w:rsidR="001C7680" w:rsidRPr="000F2F80" w:rsidTr="00B06977">
        <w:trPr>
          <w:tblHeader/>
        </w:trPr>
        <w:tc>
          <w:tcPr>
            <w:tcW w:w="4248" w:type="dxa"/>
            <w:tcBorders>
              <w:bottom w:val="single" w:sz="4" w:space="0" w:color="auto"/>
            </w:tcBorders>
          </w:tcPr>
          <w:p w:rsidR="001C7680" w:rsidRPr="00C37510" w:rsidRDefault="001C7680">
            <w:pPr>
              <w:rPr>
                <w:b/>
                <w:lang w:val="fr-BE"/>
              </w:rPr>
            </w:pPr>
            <w:r w:rsidRPr="00C37510">
              <w:rPr>
                <w:b/>
                <w:lang w:val="fr-BE"/>
              </w:rPr>
              <w:t>Contrat entre une entreprise et un consommateur (B2C)</w:t>
            </w:r>
          </w:p>
        </w:tc>
        <w:tc>
          <w:tcPr>
            <w:tcW w:w="4252" w:type="dxa"/>
            <w:tcBorders>
              <w:bottom w:val="single" w:sz="4" w:space="0" w:color="auto"/>
            </w:tcBorders>
          </w:tcPr>
          <w:p w:rsidR="001C7680" w:rsidRPr="00C37510" w:rsidRDefault="00911015">
            <w:pPr>
              <w:rPr>
                <w:b/>
                <w:lang w:val="fr-BE"/>
              </w:rPr>
            </w:pPr>
            <w:r>
              <w:rPr>
                <w:b/>
                <w:lang w:val="fr-BE"/>
              </w:rPr>
              <w:t>Contrat entre entreprises (B2B</w:t>
            </w:r>
            <w:r w:rsidR="001C7680" w:rsidRPr="00C37510">
              <w:rPr>
                <w:b/>
                <w:lang w:val="fr-BE"/>
              </w:rPr>
              <w:t>)</w:t>
            </w:r>
          </w:p>
        </w:tc>
        <w:tc>
          <w:tcPr>
            <w:tcW w:w="4395" w:type="dxa"/>
            <w:tcBorders>
              <w:bottom w:val="single" w:sz="4" w:space="0" w:color="auto"/>
            </w:tcBorders>
          </w:tcPr>
          <w:p w:rsidR="001C7680" w:rsidRPr="00C37510" w:rsidRDefault="001C7680">
            <w:pPr>
              <w:rPr>
                <w:b/>
                <w:lang w:val="fr-BE"/>
              </w:rPr>
            </w:pPr>
            <w:r>
              <w:rPr>
                <w:b/>
                <w:lang w:val="fr-BE"/>
              </w:rPr>
              <w:t>Explications</w:t>
            </w:r>
          </w:p>
        </w:tc>
      </w:tr>
      <w:tr w:rsidR="001C7680" w:rsidRPr="00151932" w:rsidTr="00B06977">
        <w:tc>
          <w:tcPr>
            <w:tcW w:w="4248" w:type="dxa"/>
            <w:tcBorders>
              <w:top w:val="single" w:sz="4" w:space="0" w:color="auto"/>
              <w:left w:val="single" w:sz="4" w:space="0" w:color="auto"/>
              <w:bottom w:val="single" w:sz="4" w:space="0" w:color="auto"/>
              <w:right w:val="single" w:sz="4" w:space="0" w:color="auto"/>
            </w:tcBorders>
          </w:tcPr>
          <w:p w:rsidR="001C7680" w:rsidRDefault="00E05D52" w:rsidP="00C37510">
            <w:pPr>
              <w:jc w:val="both"/>
              <w:rPr>
                <w:lang w:val="fr-BE"/>
              </w:rPr>
            </w:pPr>
            <w:r>
              <w:rPr>
                <w:lang w:val="fr-BE"/>
              </w:rPr>
              <w:t xml:space="preserve">VI.83, 1°, du CDE </w:t>
            </w:r>
            <w:r w:rsidR="001C7680">
              <w:rPr>
                <w:lang w:val="fr-BE"/>
              </w:rPr>
              <w:t>: « </w:t>
            </w:r>
            <w:r w:rsidR="001C7680" w:rsidRPr="00E7773C">
              <w:rPr>
                <w:i/>
                <w:lang w:val="fr-BE"/>
              </w:rPr>
              <w:t>prévoir un engagement irrévocab</w:t>
            </w:r>
            <w:r w:rsidR="00F27393">
              <w:rPr>
                <w:i/>
                <w:lang w:val="fr-BE"/>
              </w:rPr>
              <w:t>le du consommateur, alors que l’exécution des prestations de l’</w:t>
            </w:r>
            <w:r w:rsidR="001C7680" w:rsidRPr="00E7773C">
              <w:rPr>
                <w:i/>
                <w:lang w:val="fr-BE"/>
              </w:rPr>
              <w:t>entreprise est soumise à une condition dont la réalisation dépend de sa seule volonté</w:t>
            </w:r>
            <w:r w:rsidR="001C7680">
              <w:rPr>
                <w:lang w:val="fr-BE"/>
              </w:rPr>
              <w:t> »</w:t>
            </w:r>
          </w:p>
          <w:p w:rsidR="001C7680" w:rsidRDefault="001C7680" w:rsidP="00C37510">
            <w:pPr>
              <w:jc w:val="both"/>
              <w:rPr>
                <w:lang w:val="fr-BE"/>
              </w:rPr>
            </w:pPr>
          </w:p>
          <w:p w:rsidR="001C7680" w:rsidRDefault="001C7680" w:rsidP="00305189">
            <w:pPr>
              <w:jc w:val="both"/>
              <w:rPr>
                <w:lang w:val="fr-BE"/>
              </w:rPr>
            </w:pPr>
          </w:p>
          <w:p w:rsidR="001C7680" w:rsidRDefault="001C7680" w:rsidP="00957F6B">
            <w:pPr>
              <w:jc w:val="both"/>
              <w:rPr>
                <w:lang w:val="fr-BE"/>
              </w:rPr>
            </w:pPr>
            <w:r>
              <w:rPr>
                <w:lang w:val="fr-BE"/>
              </w:rPr>
              <w:t xml:space="preserve">Clause figurant dans la </w:t>
            </w:r>
            <w:r w:rsidRPr="00E7773C">
              <w:rPr>
                <w:b/>
                <w:lang w:val="fr-BE"/>
              </w:rPr>
              <w:t>liste noire</w:t>
            </w:r>
            <w:r>
              <w:rPr>
                <w:lang w:val="fr-BE"/>
              </w:rPr>
              <w:t xml:space="preserve">, </w:t>
            </w:r>
            <w:r w:rsidR="00122BF5">
              <w:rPr>
                <w:lang w:val="fr-BE"/>
              </w:rPr>
              <w:t>abusive en toutes circonstances</w:t>
            </w:r>
            <w:r>
              <w:rPr>
                <w:lang w:val="fr-BE"/>
              </w:rPr>
              <w:t xml:space="preserve">  </w:t>
            </w:r>
          </w:p>
          <w:p w:rsidR="001C7680" w:rsidRDefault="001C7680" w:rsidP="00305189">
            <w:pPr>
              <w:jc w:val="both"/>
              <w:rPr>
                <w:lang w:val="fr-BE"/>
              </w:rPr>
            </w:pPr>
          </w:p>
          <w:p w:rsidR="0073582E" w:rsidRPr="009D09C0" w:rsidRDefault="0073582E" w:rsidP="00305189">
            <w:pPr>
              <w:jc w:val="both"/>
              <w:rPr>
                <w:i/>
                <w:lang w:val="fr-BE"/>
              </w:rPr>
            </w:pPr>
          </w:p>
        </w:tc>
        <w:tc>
          <w:tcPr>
            <w:tcW w:w="4252" w:type="dxa"/>
            <w:tcBorders>
              <w:top w:val="single" w:sz="4" w:space="0" w:color="auto"/>
              <w:left w:val="single" w:sz="4" w:space="0" w:color="auto"/>
              <w:bottom w:val="single" w:sz="4" w:space="0" w:color="auto"/>
              <w:right w:val="single" w:sz="4" w:space="0" w:color="auto"/>
            </w:tcBorders>
          </w:tcPr>
          <w:p w:rsidR="001C7680" w:rsidRDefault="00E05D52" w:rsidP="001C7680">
            <w:pPr>
              <w:jc w:val="both"/>
              <w:rPr>
                <w:lang w:val="fr-BE"/>
              </w:rPr>
            </w:pPr>
            <w:r>
              <w:rPr>
                <w:lang w:val="fr-BE"/>
              </w:rPr>
              <w:t xml:space="preserve">VI.91/4, 1°, du CDE </w:t>
            </w:r>
            <w:r w:rsidR="001C7680">
              <w:rPr>
                <w:lang w:val="fr-BE"/>
              </w:rPr>
              <w:t>: « </w:t>
            </w:r>
            <w:r w:rsidR="001C7680" w:rsidRPr="002C1C3C">
              <w:rPr>
                <w:i/>
                <w:lang w:val="fr-BE"/>
              </w:rPr>
              <w:t>prévoir un engagement irrévocable de l’autre partie, alors que l’exécution des prestations de l’entreprise est soumise à une condition dont la réalisation dépend de sa seule volonté</w:t>
            </w:r>
            <w:r w:rsidR="001C7680">
              <w:rPr>
                <w:lang w:val="fr-BE"/>
              </w:rPr>
              <w:t> »</w:t>
            </w:r>
          </w:p>
          <w:p w:rsidR="001C7680" w:rsidRDefault="001C7680" w:rsidP="002C1C3C">
            <w:pPr>
              <w:rPr>
                <w:lang w:val="fr-BE"/>
              </w:rPr>
            </w:pPr>
          </w:p>
          <w:p w:rsidR="001C7680" w:rsidRDefault="001C7680" w:rsidP="00D200CA">
            <w:pPr>
              <w:jc w:val="both"/>
              <w:rPr>
                <w:lang w:val="fr-BE"/>
              </w:rPr>
            </w:pPr>
          </w:p>
          <w:p w:rsidR="001C7680" w:rsidRDefault="001C7680" w:rsidP="00D200CA">
            <w:pPr>
              <w:jc w:val="both"/>
              <w:rPr>
                <w:lang w:val="fr-BE"/>
              </w:rPr>
            </w:pPr>
            <w:r>
              <w:rPr>
                <w:lang w:val="fr-BE"/>
              </w:rPr>
              <w:t xml:space="preserve">Clause figurant dans la </w:t>
            </w:r>
            <w:r w:rsidRPr="00E7773C">
              <w:rPr>
                <w:b/>
                <w:lang w:val="fr-BE"/>
              </w:rPr>
              <w:t>liste noire</w:t>
            </w:r>
            <w:r>
              <w:rPr>
                <w:lang w:val="fr-BE"/>
              </w:rPr>
              <w:t xml:space="preserve">, </w:t>
            </w:r>
            <w:r w:rsidR="00122BF5">
              <w:rPr>
                <w:lang w:val="fr-BE"/>
              </w:rPr>
              <w:t>abusive en toutes circonstances</w:t>
            </w:r>
          </w:p>
          <w:p w:rsidR="001C7680" w:rsidRPr="00D200CA" w:rsidRDefault="001C7680" w:rsidP="00D200CA">
            <w:pPr>
              <w:jc w:val="both"/>
              <w:rPr>
                <w:lang w:val="fr-BE"/>
              </w:rPr>
            </w:pPr>
          </w:p>
        </w:tc>
        <w:tc>
          <w:tcPr>
            <w:tcW w:w="4395" w:type="dxa"/>
            <w:tcBorders>
              <w:top w:val="single" w:sz="4" w:space="0" w:color="auto"/>
              <w:left w:val="single" w:sz="4" w:space="0" w:color="auto"/>
              <w:bottom w:val="single" w:sz="4" w:space="0" w:color="auto"/>
              <w:right w:val="single" w:sz="4" w:space="0" w:color="auto"/>
            </w:tcBorders>
          </w:tcPr>
          <w:p w:rsidR="001C7680" w:rsidRDefault="006E6709" w:rsidP="001C7680">
            <w:pPr>
              <w:jc w:val="both"/>
              <w:rPr>
                <w:lang w:val="fr-BE"/>
              </w:rPr>
            </w:pPr>
            <w:r>
              <w:rPr>
                <w:lang w:val="fr-BE"/>
              </w:rPr>
              <w:t xml:space="preserve">Ces dispositions </w:t>
            </w:r>
            <w:r w:rsidR="001C7680">
              <w:rPr>
                <w:lang w:val="fr-BE"/>
              </w:rPr>
              <w:t>vise</w:t>
            </w:r>
            <w:r>
              <w:rPr>
                <w:lang w:val="fr-BE"/>
              </w:rPr>
              <w:t>nt</w:t>
            </w:r>
            <w:r w:rsidR="001C7680">
              <w:rPr>
                <w:lang w:val="fr-BE"/>
              </w:rPr>
              <w:t xml:space="preserve"> à interdire des clauses qui lient irrévocablement une partie alors que l’exécution de la  prestation de l’</w:t>
            </w:r>
            <w:r w:rsidR="00220A19">
              <w:rPr>
                <w:lang w:val="fr-BE"/>
              </w:rPr>
              <w:t>(autre)</w:t>
            </w:r>
            <w:r w:rsidR="00556A0D">
              <w:rPr>
                <w:lang w:val="fr-BE"/>
              </w:rPr>
              <w:t xml:space="preserve"> </w:t>
            </w:r>
            <w:r w:rsidR="001C7680">
              <w:rPr>
                <w:lang w:val="fr-BE"/>
              </w:rPr>
              <w:t>entreprise dépend de sa seule volonté</w:t>
            </w:r>
            <w:r w:rsidR="00C42A6E">
              <w:rPr>
                <w:lang w:val="fr-BE"/>
              </w:rPr>
              <w:t xml:space="preserve">. </w:t>
            </w:r>
            <w:r w:rsidR="00C33B6A">
              <w:rPr>
                <w:lang w:val="fr-BE"/>
              </w:rPr>
              <w:t xml:space="preserve">Elles peuvent être rapprochées du </w:t>
            </w:r>
            <w:r w:rsidR="00C42A6E">
              <w:rPr>
                <w:lang w:val="fr-BE"/>
              </w:rPr>
              <w:t>droit commun (actuel)</w:t>
            </w:r>
            <w:r w:rsidR="00C33B6A">
              <w:rPr>
                <w:lang w:val="fr-BE"/>
              </w:rPr>
              <w:t>, lequel</w:t>
            </w:r>
            <w:r w:rsidR="00C42A6E">
              <w:rPr>
                <w:lang w:val="fr-BE"/>
              </w:rPr>
              <w:t xml:space="preserve"> frappe de nullité l’engagement conclu sous une </w:t>
            </w:r>
            <w:r w:rsidR="001C7680">
              <w:rPr>
                <w:lang w:val="fr-BE"/>
              </w:rPr>
              <w:t>condition suspensive purement potestative</w:t>
            </w:r>
            <w:r w:rsidR="00C33B6A">
              <w:rPr>
                <w:lang w:val="fr-BE"/>
              </w:rPr>
              <w:t>, à savoir un  événement qui dépend exclusivement de la volonté du débiteur</w:t>
            </w:r>
            <w:r w:rsidR="00C42A6E">
              <w:rPr>
                <w:lang w:val="fr-BE"/>
              </w:rPr>
              <w:t xml:space="preserve"> (art. 1174 du Code civil</w:t>
            </w:r>
            <w:r w:rsidR="001C7680">
              <w:rPr>
                <w:lang w:val="fr-BE"/>
              </w:rPr>
              <w:t>).</w:t>
            </w:r>
          </w:p>
          <w:p w:rsidR="001C7680" w:rsidRDefault="001C7680" w:rsidP="001C7680">
            <w:pPr>
              <w:jc w:val="both"/>
              <w:rPr>
                <w:lang w:val="fr-BE"/>
              </w:rPr>
            </w:pPr>
          </w:p>
          <w:p w:rsidR="001C7680" w:rsidRDefault="001C7680" w:rsidP="001C7680">
            <w:pPr>
              <w:jc w:val="both"/>
              <w:rPr>
                <w:lang w:val="fr-BE"/>
              </w:rPr>
            </w:pPr>
            <w:r>
              <w:rPr>
                <w:lang w:val="fr-BE"/>
              </w:rPr>
              <w:t>Ainsi, par exemple,</w:t>
            </w:r>
            <w:r w:rsidR="00556A0D">
              <w:rPr>
                <w:lang w:val="fr-BE"/>
              </w:rPr>
              <w:t xml:space="preserve"> selon une partie de la doctrine</w:t>
            </w:r>
            <w:r w:rsidR="00556A0D">
              <w:rPr>
                <w:rStyle w:val="Appelnotedebasdep"/>
                <w:lang w:val="fr-BE"/>
              </w:rPr>
              <w:footnoteReference w:id="3"/>
            </w:r>
            <w:r w:rsidR="00FD5716">
              <w:rPr>
                <w:lang w:val="fr-BE"/>
              </w:rPr>
              <w:t>,</w:t>
            </w:r>
            <w:r w:rsidR="009D09C0">
              <w:rPr>
                <w:lang w:val="fr-BE"/>
              </w:rPr>
              <w:t xml:space="preserve"> </w:t>
            </w:r>
            <w:r w:rsidR="00556A0D">
              <w:rPr>
                <w:lang w:val="fr-BE"/>
              </w:rPr>
              <w:t xml:space="preserve">serait </w:t>
            </w:r>
            <w:r>
              <w:rPr>
                <w:lang w:val="fr-BE"/>
              </w:rPr>
              <w:t xml:space="preserve">abusive la vente (ou </w:t>
            </w:r>
            <w:r>
              <w:rPr>
                <w:lang w:val="fr-BE"/>
              </w:rPr>
              <w:lastRenderedPageBreak/>
              <w:t xml:space="preserve">l’acquisition) par un mandataire assortie d’une </w:t>
            </w:r>
            <w:r w:rsidR="00E43F0F">
              <w:rPr>
                <w:lang w:val="fr-BE"/>
              </w:rPr>
              <w:t xml:space="preserve">prétendue </w:t>
            </w:r>
            <w:r>
              <w:rPr>
                <w:lang w:val="fr-BE"/>
              </w:rPr>
              <w:t>condition suspensive</w:t>
            </w:r>
            <w:r>
              <w:rPr>
                <w:rStyle w:val="Appelnotedebasdep"/>
                <w:lang w:val="fr-BE"/>
              </w:rPr>
              <w:footnoteReference w:id="4"/>
            </w:r>
            <w:r>
              <w:rPr>
                <w:lang w:val="fr-BE"/>
              </w:rPr>
              <w:t xml:space="preserve"> relative à l’accord du mandant (propriétaire ou acquéreur effectif).</w:t>
            </w:r>
          </w:p>
          <w:p w:rsidR="001C7680" w:rsidRDefault="001C7680" w:rsidP="001C7680">
            <w:pPr>
              <w:jc w:val="both"/>
              <w:rPr>
                <w:lang w:val="fr-BE"/>
              </w:rPr>
            </w:pPr>
          </w:p>
          <w:p w:rsidR="001C7680" w:rsidRDefault="001C7680" w:rsidP="00AE7B0A">
            <w:pPr>
              <w:jc w:val="both"/>
              <w:rPr>
                <w:lang w:val="fr-BE"/>
              </w:rPr>
            </w:pPr>
            <w:r>
              <w:rPr>
                <w:lang w:val="fr-BE"/>
              </w:rPr>
              <w:t xml:space="preserve">L’application </w:t>
            </w:r>
            <w:r w:rsidR="006E6709">
              <w:rPr>
                <w:lang w:val="fr-BE"/>
              </w:rPr>
              <w:t xml:space="preserve">de l’article VI.83, 1°, </w:t>
            </w:r>
            <w:r>
              <w:rPr>
                <w:lang w:val="fr-BE"/>
              </w:rPr>
              <w:t>à la promesse unilatérale de vente ou d’achat dans le chef du consommateur est controversée</w:t>
            </w:r>
            <w:r>
              <w:rPr>
                <w:rStyle w:val="Appelnotedebasdep"/>
                <w:lang w:val="fr-BE"/>
              </w:rPr>
              <w:footnoteReference w:id="5"/>
            </w:r>
            <w:r>
              <w:rPr>
                <w:lang w:val="fr-BE"/>
              </w:rPr>
              <w:t>.</w:t>
            </w:r>
            <w:r w:rsidR="0073582E">
              <w:rPr>
                <w:lang w:val="fr-BE"/>
              </w:rPr>
              <w:t xml:space="preserve"> Nous nous rallions toutefois à l’opinion de R. </w:t>
            </w:r>
            <w:proofErr w:type="spellStart"/>
            <w:r w:rsidR="0073582E">
              <w:rPr>
                <w:lang w:val="fr-BE"/>
              </w:rPr>
              <w:t>Jafferali</w:t>
            </w:r>
            <w:proofErr w:type="spellEnd"/>
            <w:r w:rsidR="0073582E">
              <w:rPr>
                <w:lang w:val="fr-BE"/>
              </w:rPr>
              <w:t xml:space="preserve"> qui estime que la promesse unilatérale n’est pas visée par la disposition dans la mesure où </w:t>
            </w:r>
            <w:r w:rsidR="0073582E" w:rsidRPr="0073582E">
              <w:rPr>
                <w:lang w:val="fr-BE"/>
              </w:rPr>
              <w:t>il n’existe aucun risque que l’équilibre contractuel soit mis en péril par l’exercice du droit potestatif reconnu au bénéficiaire de l’option.</w:t>
            </w:r>
            <w:r w:rsidR="0073582E">
              <w:rPr>
                <w:lang w:val="fr-BE"/>
              </w:rPr>
              <w:t xml:space="preserve"> En effet, comme l’écrit l’auteur, de deux choses l’une </w:t>
            </w:r>
            <w:r w:rsidR="0073582E" w:rsidRPr="0073582E">
              <w:rPr>
                <w:lang w:val="fr-BE"/>
              </w:rPr>
              <w:t xml:space="preserve">: </w:t>
            </w:r>
            <w:r w:rsidR="0073582E" w:rsidRPr="009D09C0">
              <w:rPr>
                <w:i/>
                <w:lang w:val="fr-BE"/>
              </w:rPr>
              <w:t xml:space="preserve">« soit l’option est levée et les deux parties sont tenues à l’exécution des obligations découlant du contrat-cible; soit l’option n’est pas levée et le contrat-cible </w:t>
            </w:r>
            <w:r w:rsidR="0073582E" w:rsidRPr="009D09C0">
              <w:rPr>
                <w:i/>
                <w:lang w:val="fr-BE"/>
              </w:rPr>
              <w:lastRenderedPageBreak/>
              <w:t>ne vient alors à existence à l’égard d’aucune des parties</w:t>
            </w:r>
            <w:r w:rsidR="0073582E">
              <w:rPr>
                <w:lang w:val="fr-BE"/>
              </w:rPr>
              <w:t> »</w:t>
            </w:r>
            <w:r w:rsidR="00AE7B0A">
              <w:rPr>
                <w:rStyle w:val="Appelnotedebasdep"/>
                <w:lang w:val="fr-BE"/>
              </w:rPr>
              <w:footnoteReference w:id="6"/>
            </w:r>
            <w:r w:rsidR="0073582E">
              <w:rPr>
                <w:lang w:val="fr-BE"/>
              </w:rPr>
              <w:t xml:space="preserve">. </w:t>
            </w:r>
          </w:p>
          <w:p w:rsidR="00A4308F" w:rsidRDefault="00A4308F" w:rsidP="00AE7B0A">
            <w:pPr>
              <w:jc w:val="both"/>
              <w:rPr>
                <w:lang w:val="fr-BE"/>
              </w:rPr>
            </w:pPr>
          </w:p>
          <w:p w:rsidR="00A4308F" w:rsidRDefault="00A4308F" w:rsidP="00AE7B0A">
            <w:pPr>
              <w:jc w:val="both"/>
              <w:rPr>
                <w:lang w:val="fr-BE"/>
              </w:rPr>
            </w:pPr>
            <w:r>
              <w:rPr>
                <w:lang w:val="fr-BE"/>
              </w:rPr>
              <w:t>Nous renvoyons le lecteur à la contribution de M</w:t>
            </w:r>
            <w:r w:rsidR="00DE049C">
              <w:rPr>
                <w:lang w:val="fr-BE"/>
              </w:rPr>
              <w:t>.</w:t>
            </w:r>
            <w:r>
              <w:rPr>
                <w:lang w:val="fr-BE"/>
              </w:rPr>
              <w:t xml:space="preserve"> </w:t>
            </w:r>
            <w:proofErr w:type="spellStart"/>
            <w:r>
              <w:rPr>
                <w:lang w:val="fr-BE"/>
              </w:rPr>
              <w:t>Houbben</w:t>
            </w:r>
            <w:proofErr w:type="spellEnd"/>
            <w:r>
              <w:rPr>
                <w:lang w:val="fr-BE"/>
              </w:rPr>
              <w:t xml:space="preserve">, dans le présent ouvrage, sur les clauses potestatives. </w:t>
            </w:r>
          </w:p>
        </w:tc>
      </w:tr>
      <w:tr w:rsidR="002F6321" w:rsidRPr="00151932" w:rsidTr="00A86A87">
        <w:tc>
          <w:tcPr>
            <w:tcW w:w="4248" w:type="dxa"/>
            <w:tcBorders>
              <w:top w:val="single" w:sz="4" w:space="0" w:color="auto"/>
              <w:left w:val="single" w:sz="4" w:space="0" w:color="auto"/>
              <w:bottom w:val="single" w:sz="4" w:space="0" w:color="auto"/>
              <w:right w:val="single" w:sz="4" w:space="0" w:color="auto"/>
            </w:tcBorders>
          </w:tcPr>
          <w:p w:rsidR="002F6321" w:rsidRPr="00E7773C" w:rsidRDefault="002F6321" w:rsidP="00E7773C">
            <w:pPr>
              <w:jc w:val="both"/>
              <w:rPr>
                <w:i/>
                <w:lang w:val="fr-BE"/>
              </w:rPr>
            </w:pPr>
            <w:r>
              <w:rPr>
                <w:lang w:val="fr-BE"/>
              </w:rPr>
              <w:lastRenderedPageBreak/>
              <w:t>VI.83, 2°</w:t>
            </w:r>
            <w:r w:rsidR="00E05D52">
              <w:rPr>
                <w:lang w:val="fr-BE"/>
              </w:rPr>
              <w:t>, du CDE</w:t>
            </w:r>
            <w:r>
              <w:rPr>
                <w:lang w:val="fr-BE"/>
              </w:rPr>
              <w:t> : « </w:t>
            </w:r>
            <w:r w:rsidRPr="00E7773C">
              <w:rPr>
                <w:i/>
                <w:lang w:val="fr-BE"/>
              </w:rPr>
              <w:t xml:space="preserve">déterminer, dans les contrats </w:t>
            </w:r>
            <w:r w:rsidRPr="00122BF5">
              <w:rPr>
                <w:i/>
                <w:lang w:val="fr-BE"/>
              </w:rPr>
              <w:t>à durée indéterminée</w:t>
            </w:r>
            <w:r w:rsidRPr="00E7773C">
              <w:rPr>
                <w:i/>
                <w:lang w:val="fr-BE"/>
              </w:rPr>
              <w:t>, que le prix des produits est fixé au moment d</w:t>
            </w:r>
            <w:r>
              <w:rPr>
                <w:i/>
                <w:lang w:val="fr-BE"/>
              </w:rPr>
              <w:t>e la livraison ou permettre à l’entreprise d’</w:t>
            </w:r>
            <w:r w:rsidRPr="00E7773C">
              <w:rPr>
                <w:i/>
                <w:lang w:val="fr-BE"/>
              </w:rPr>
              <w:t>augmenter unilatéralement le prix ou de modifier les conditions au détriment du consommateur sur l</w:t>
            </w:r>
            <w:r>
              <w:rPr>
                <w:i/>
                <w:lang w:val="fr-BE"/>
              </w:rPr>
              <w:t>a base d’</w:t>
            </w:r>
            <w:r w:rsidRPr="00E7773C">
              <w:rPr>
                <w:i/>
                <w:lang w:val="fr-BE"/>
              </w:rPr>
              <w:t>éléments qui dépendent de sa seule volonté, sans que le consommateur ait le droit, dans tous ces cas, avant que le nouveau pri</w:t>
            </w:r>
            <w:r>
              <w:rPr>
                <w:i/>
                <w:lang w:val="fr-BE"/>
              </w:rPr>
              <w:t>x ou les nouvelles conditions s’</w:t>
            </w:r>
            <w:r w:rsidRPr="00E7773C">
              <w:rPr>
                <w:i/>
                <w:lang w:val="fr-BE"/>
              </w:rPr>
              <w:t>appliquent, de mettre fin au contrat sans frais ou dommages-intérêts et sans lui laisser un délai raisonnable à cet effet.</w:t>
            </w:r>
          </w:p>
          <w:p w:rsidR="002F6321" w:rsidRPr="00E7773C" w:rsidRDefault="002F6321" w:rsidP="00E7773C">
            <w:pPr>
              <w:jc w:val="both"/>
              <w:rPr>
                <w:i/>
                <w:lang w:val="fr-BE"/>
              </w:rPr>
            </w:pPr>
            <w:r w:rsidRPr="00E7773C">
              <w:rPr>
                <w:i/>
                <w:lang w:val="fr-BE"/>
              </w:rPr>
              <w:t xml:space="preserve">  Sont toutefois autorisées et valides :</w:t>
            </w:r>
          </w:p>
          <w:p w:rsidR="002F6321" w:rsidRPr="00E7773C" w:rsidRDefault="002F6321" w:rsidP="00E7773C">
            <w:pPr>
              <w:jc w:val="both"/>
              <w:rPr>
                <w:i/>
                <w:lang w:val="fr-BE"/>
              </w:rPr>
            </w:pPr>
            <w:r>
              <w:rPr>
                <w:i/>
                <w:lang w:val="fr-BE"/>
              </w:rPr>
              <w:t xml:space="preserve">  a) les clauses d’</w:t>
            </w:r>
            <w:r w:rsidRPr="00E7773C">
              <w:rPr>
                <w:i/>
                <w:lang w:val="fr-BE"/>
              </w:rPr>
              <w:t>in</w:t>
            </w:r>
            <w:r>
              <w:rPr>
                <w:i/>
                <w:lang w:val="fr-BE"/>
              </w:rPr>
              <w:t>dexation de prix pour autant qu’</w:t>
            </w:r>
            <w:r w:rsidRPr="00E7773C">
              <w:rPr>
                <w:i/>
                <w:lang w:val="fr-BE"/>
              </w:rPr>
              <w:t>elles ne soient</w:t>
            </w:r>
            <w:r>
              <w:rPr>
                <w:i/>
                <w:lang w:val="fr-BE"/>
              </w:rPr>
              <w:t xml:space="preserve"> pas illicites et que le mode d’</w:t>
            </w:r>
            <w:r w:rsidRPr="00E7773C">
              <w:rPr>
                <w:i/>
                <w:lang w:val="fr-BE"/>
              </w:rPr>
              <w:t>adaptation du prix soit explicitement décrit dans le contrat;</w:t>
            </w:r>
          </w:p>
          <w:p w:rsidR="002F6321" w:rsidRDefault="002F6321" w:rsidP="00E7773C">
            <w:pPr>
              <w:jc w:val="both"/>
              <w:rPr>
                <w:lang w:val="fr-BE"/>
              </w:rPr>
            </w:pPr>
            <w:r w:rsidRPr="00E7773C">
              <w:rPr>
                <w:i/>
                <w:lang w:val="fr-BE"/>
              </w:rPr>
              <w:t xml:space="preserve">  b) les clauses se</w:t>
            </w:r>
            <w:r>
              <w:rPr>
                <w:i/>
                <w:lang w:val="fr-BE"/>
              </w:rPr>
              <w:t>lon lesquelles l’</w:t>
            </w:r>
            <w:r w:rsidRPr="00E7773C">
              <w:rPr>
                <w:i/>
                <w:lang w:val="fr-BE"/>
              </w:rPr>
              <w:t>entreprise de services financiers se réserve</w:t>
            </w:r>
            <w:r>
              <w:rPr>
                <w:i/>
                <w:lang w:val="fr-BE"/>
              </w:rPr>
              <w:t xml:space="preserve"> le droit de modifier le taux d’</w:t>
            </w:r>
            <w:r w:rsidRPr="00E7773C">
              <w:rPr>
                <w:i/>
                <w:lang w:val="fr-BE"/>
              </w:rPr>
              <w:t xml:space="preserve">intérêt dû par le consommateur ou dû à </w:t>
            </w:r>
            <w:r w:rsidRPr="00E7773C">
              <w:rPr>
                <w:i/>
                <w:lang w:val="fr-BE"/>
              </w:rPr>
              <w:lastRenderedPageBreak/>
              <w:t>celui-ci, sans aucun préavis en cas de raison valable, pourvu que soit mis</w:t>
            </w:r>
            <w:r>
              <w:rPr>
                <w:i/>
                <w:lang w:val="fr-BE"/>
              </w:rPr>
              <w:t>e à la charge de l’entreprise l’obligation d’</w:t>
            </w:r>
            <w:r w:rsidRPr="00E7773C">
              <w:rPr>
                <w:i/>
                <w:lang w:val="fr-BE"/>
              </w:rPr>
              <w:t>en informer le consommateur dans les meilleurs délais et que celui-ci soit libre de résilier immédiatement le contrat</w:t>
            </w:r>
            <w:r>
              <w:rPr>
                <w:lang w:val="fr-BE"/>
              </w:rPr>
              <w:t> »</w:t>
            </w:r>
          </w:p>
          <w:p w:rsidR="002F6321" w:rsidRDefault="002F6321" w:rsidP="002A29D9">
            <w:pPr>
              <w:jc w:val="both"/>
              <w:rPr>
                <w:lang w:val="fr-BE"/>
              </w:rPr>
            </w:pPr>
          </w:p>
          <w:p w:rsidR="002F6321" w:rsidRDefault="002F6321" w:rsidP="002A29D9">
            <w:pPr>
              <w:jc w:val="both"/>
              <w:rPr>
                <w:lang w:val="fr-BE"/>
              </w:rPr>
            </w:pPr>
            <w:r>
              <w:rPr>
                <w:lang w:val="fr-BE"/>
              </w:rPr>
              <w:t xml:space="preserve">Clause figurant dans la </w:t>
            </w:r>
            <w:r w:rsidRPr="00E7773C">
              <w:rPr>
                <w:b/>
                <w:lang w:val="fr-BE"/>
              </w:rPr>
              <w:t>liste noire</w:t>
            </w:r>
            <w:r>
              <w:rPr>
                <w:lang w:val="fr-BE"/>
              </w:rPr>
              <w:t xml:space="preserve">, abusive en toutes circonstances  </w:t>
            </w:r>
          </w:p>
          <w:p w:rsidR="00CE47A7" w:rsidRDefault="00CE47A7" w:rsidP="002A29D9">
            <w:pPr>
              <w:jc w:val="both"/>
              <w:rPr>
                <w:lang w:val="fr-BE"/>
              </w:rPr>
            </w:pPr>
          </w:p>
          <w:p w:rsidR="00CE47A7" w:rsidRPr="00525BB2" w:rsidRDefault="00CE47A7" w:rsidP="002A29D9">
            <w:pPr>
              <w:jc w:val="both"/>
              <w:rPr>
                <w:i/>
                <w:lang w:val="fr-BE"/>
              </w:rPr>
            </w:pPr>
          </w:p>
        </w:tc>
        <w:tc>
          <w:tcPr>
            <w:tcW w:w="4252" w:type="dxa"/>
            <w:vMerge w:val="restart"/>
            <w:tcBorders>
              <w:top w:val="single" w:sz="4" w:space="0" w:color="auto"/>
              <w:left w:val="single" w:sz="4" w:space="0" w:color="auto"/>
              <w:right w:val="single" w:sz="4" w:space="0" w:color="auto"/>
            </w:tcBorders>
          </w:tcPr>
          <w:p w:rsidR="002F6321" w:rsidRDefault="00E05D52" w:rsidP="00683EDA">
            <w:pPr>
              <w:jc w:val="both"/>
              <w:rPr>
                <w:lang w:val="fr-BE"/>
              </w:rPr>
            </w:pPr>
            <w:r>
              <w:rPr>
                <w:lang w:val="fr-BE"/>
              </w:rPr>
              <w:lastRenderedPageBreak/>
              <w:t xml:space="preserve">VI.91/5, 1°, du CDE </w:t>
            </w:r>
            <w:r w:rsidR="002F6321">
              <w:rPr>
                <w:lang w:val="fr-BE"/>
              </w:rPr>
              <w:t>: « </w:t>
            </w:r>
            <w:r w:rsidR="002F6321" w:rsidRPr="00683EDA">
              <w:rPr>
                <w:i/>
                <w:lang w:val="fr-BE"/>
              </w:rPr>
              <w:t>autoriser l’entreprise à modifier unilatéralement sans raison valable le prix, les caractéristiques ou les</w:t>
            </w:r>
            <w:r>
              <w:rPr>
                <w:i/>
                <w:lang w:val="fr-BE"/>
              </w:rPr>
              <w:t xml:space="preserve"> </w:t>
            </w:r>
            <w:r w:rsidR="002F6321" w:rsidRPr="00683EDA">
              <w:rPr>
                <w:i/>
                <w:lang w:val="fr-BE"/>
              </w:rPr>
              <w:t>conditions du contrat</w:t>
            </w:r>
            <w:r w:rsidR="002F6321">
              <w:rPr>
                <w:lang w:val="fr-BE"/>
              </w:rPr>
              <w:t> »</w:t>
            </w:r>
          </w:p>
          <w:p w:rsidR="00820983" w:rsidRDefault="00820983" w:rsidP="00683EDA">
            <w:pPr>
              <w:jc w:val="both"/>
              <w:rPr>
                <w:lang w:val="fr-BE"/>
              </w:rPr>
            </w:pPr>
          </w:p>
          <w:p w:rsidR="002F6321" w:rsidRDefault="002F6321" w:rsidP="00683EDA">
            <w:pPr>
              <w:jc w:val="both"/>
              <w:rPr>
                <w:lang w:val="fr-BE"/>
              </w:rPr>
            </w:pPr>
            <w:r>
              <w:rPr>
                <w:lang w:val="fr-BE"/>
              </w:rPr>
              <w:t xml:space="preserve">Clause figurant dans la </w:t>
            </w:r>
            <w:r w:rsidRPr="00E7773C">
              <w:rPr>
                <w:b/>
                <w:lang w:val="fr-BE"/>
              </w:rPr>
              <w:t>liste</w:t>
            </w:r>
            <w:r>
              <w:rPr>
                <w:b/>
                <w:lang w:val="fr-BE"/>
              </w:rPr>
              <w:t xml:space="preserve"> grise</w:t>
            </w:r>
            <w:r>
              <w:rPr>
                <w:lang w:val="fr-BE"/>
              </w:rPr>
              <w:t xml:space="preserve">, abusive sauf preuve contraire  </w:t>
            </w:r>
          </w:p>
          <w:p w:rsidR="002F6321" w:rsidRDefault="002F6321" w:rsidP="00683EDA">
            <w:pPr>
              <w:jc w:val="both"/>
              <w:rPr>
                <w:lang w:val="fr-BE"/>
              </w:rPr>
            </w:pPr>
          </w:p>
          <w:p w:rsidR="002F6321" w:rsidRDefault="002F6321" w:rsidP="00FC2FAE">
            <w:pPr>
              <w:jc w:val="both"/>
              <w:rPr>
                <w:lang w:val="fr-BE"/>
              </w:rPr>
            </w:pPr>
            <w:r w:rsidRPr="00A01865">
              <w:rPr>
                <w:b/>
                <w:lang w:val="fr-BE"/>
              </w:rPr>
              <w:t>(B2B)</w:t>
            </w:r>
            <w:r>
              <w:rPr>
                <w:lang w:val="fr-BE"/>
              </w:rPr>
              <w:t xml:space="preserve"> Cette disposition vise à interdire les modifications qui reposent sur une base purement discrétionnaire.</w:t>
            </w:r>
            <w:r w:rsidR="000C01C7">
              <w:rPr>
                <w:lang w:val="fr-BE"/>
              </w:rPr>
              <w:t xml:space="preserve"> N’est pas visée par l’interdiction l’entreprise qui</w:t>
            </w:r>
            <w:r>
              <w:rPr>
                <w:lang w:val="fr-BE"/>
              </w:rPr>
              <w:t xml:space="preserve"> peut démontrer que l’adaptation est raisonnable dans les circonstances données (ex. augmentation du prix des matières premières) ou qu’elle peut être justifiée objectivement (modification législative instaurant, par exemple, une nouvelle taxe). </w:t>
            </w:r>
            <w:r w:rsidR="00052334">
              <w:rPr>
                <w:lang w:val="fr-BE"/>
              </w:rPr>
              <w:t>La charge de la preuve quant à l’existence d’une justification valable incombe donc à l’entreprise</w:t>
            </w:r>
            <w:r w:rsidR="00220A19">
              <w:rPr>
                <w:lang w:val="fr-BE"/>
              </w:rPr>
              <w:t xml:space="preserve"> qui impose la modification du contrat</w:t>
            </w:r>
            <w:r w:rsidR="00052334">
              <w:rPr>
                <w:lang w:val="fr-BE"/>
              </w:rPr>
              <w:t xml:space="preserve">. Il nous semble </w:t>
            </w:r>
            <w:r w:rsidR="00052334">
              <w:rPr>
                <w:lang w:val="fr-BE"/>
              </w:rPr>
              <w:lastRenderedPageBreak/>
              <w:t xml:space="preserve">qu’une raison </w:t>
            </w:r>
            <w:r w:rsidR="00657D85">
              <w:rPr>
                <w:lang w:val="fr-BE"/>
              </w:rPr>
              <w:t xml:space="preserve">(arbitraire) </w:t>
            </w:r>
            <w:r w:rsidR="00052334">
              <w:rPr>
                <w:lang w:val="fr-BE"/>
              </w:rPr>
              <w:t xml:space="preserve">tributaire du seul intérêt économique de </w:t>
            </w:r>
            <w:r w:rsidR="0069320F">
              <w:rPr>
                <w:lang w:val="fr-BE"/>
              </w:rPr>
              <w:t xml:space="preserve">cette </w:t>
            </w:r>
            <w:r w:rsidR="00052334">
              <w:rPr>
                <w:lang w:val="fr-BE"/>
              </w:rPr>
              <w:t xml:space="preserve">entreprise ne pourrait </w:t>
            </w:r>
            <w:r w:rsidR="000C01C7">
              <w:rPr>
                <w:lang w:val="fr-BE"/>
              </w:rPr>
              <w:t>constituer une « raison valable »</w:t>
            </w:r>
            <w:r w:rsidR="00657D85">
              <w:rPr>
                <w:rStyle w:val="Appelnotedebasdep"/>
                <w:lang w:val="fr-BE"/>
              </w:rPr>
              <w:footnoteReference w:id="7"/>
            </w:r>
            <w:r w:rsidR="000C01C7">
              <w:rPr>
                <w:lang w:val="fr-BE"/>
              </w:rPr>
              <w:t xml:space="preserve">. </w:t>
            </w:r>
          </w:p>
          <w:p w:rsidR="002F6321" w:rsidRDefault="00052334" w:rsidP="00444FE1">
            <w:pPr>
              <w:jc w:val="both"/>
              <w:rPr>
                <w:lang w:val="fr-BE"/>
              </w:rPr>
            </w:pPr>
            <w:r>
              <w:rPr>
                <w:lang w:val="fr-BE"/>
              </w:rPr>
              <w:t>Par ailleurs, l</w:t>
            </w:r>
            <w:r w:rsidR="002F6321">
              <w:rPr>
                <w:lang w:val="fr-BE"/>
              </w:rPr>
              <w:t xml:space="preserve">es travaux préparatoires semblent indiquer que l’existence d’une faculté de résiliation unilatérale et gratuite </w:t>
            </w:r>
            <w:r w:rsidR="00B5669C">
              <w:rPr>
                <w:lang w:val="fr-BE"/>
              </w:rPr>
              <w:t>ne constitue pas</w:t>
            </w:r>
            <w:r w:rsidR="00444FE1">
              <w:rPr>
                <w:lang w:val="fr-BE"/>
              </w:rPr>
              <w:t xml:space="preserve"> </w:t>
            </w:r>
            <w:r w:rsidR="00B5669C">
              <w:rPr>
                <w:lang w:val="fr-BE"/>
              </w:rPr>
              <w:t>un « contrepoids »</w:t>
            </w:r>
            <w:r w:rsidR="00B5669C">
              <w:rPr>
                <w:rStyle w:val="Appelnotedebasdep"/>
                <w:lang w:val="fr-BE"/>
              </w:rPr>
              <w:footnoteReference w:id="8"/>
            </w:r>
            <w:r w:rsidR="00B5669C">
              <w:rPr>
                <w:lang w:val="fr-BE"/>
              </w:rPr>
              <w:t xml:space="preserve"> suffisant pour admettre </w:t>
            </w:r>
            <w:r w:rsidR="00444FE1">
              <w:rPr>
                <w:lang w:val="fr-BE"/>
              </w:rPr>
              <w:t xml:space="preserve">qu’une entreprise puisse imposer des modifications unilatérales qui reposent sur une base discrétionnaire : en d’autres termes, elle ne permet pas, en règle, </w:t>
            </w:r>
            <w:r w:rsidR="0069320F">
              <w:rPr>
                <w:lang w:val="fr-BE"/>
              </w:rPr>
              <w:t xml:space="preserve">à elle seule, </w:t>
            </w:r>
            <w:r w:rsidR="00444FE1">
              <w:rPr>
                <w:lang w:val="fr-BE"/>
              </w:rPr>
              <w:t>de renverser</w:t>
            </w:r>
            <w:r w:rsidR="00B5669C">
              <w:rPr>
                <w:lang w:val="fr-BE"/>
              </w:rPr>
              <w:t xml:space="preserve"> la présomption d’</w:t>
            </w:r>
            <w:r w:rsidR="00444FE1">
              <w:rPr>
                <w:lang w:val="fr-BE"/>
              </w:rPr>
              <w:t>abus.</w:t>
            </w:r>
          </w:p>
          <w:p w:rsidR="002F6321" w:rsidRDefault="002F6321" w:rsidP="00FC2FAE">
            <w:pPr>
              <w:jc w:val="both"/>
              <w:rPr>
                <w:lang w:val="fr-BE"/>
              </w:rPr>
            </w:pPr>
          </w:p>
          <w:p w:rsidR="002F6321" w:rsidRDefault="002F6321" w:rsidP="00FC2FAE">
            <w:pPr>
              <w:jc w:val="both"/>
              <w:rPr>
                <w:lang w:val="fr-BE"/>
              </w:rPr>
            </w:pPr>
            <w:r>
              <w:rPr>
                <w:lang w:val="fr-BE"/>
              </w:rPr>
              <w:t>Par « caractéristiques du contrat », il convient plutôt d’entendre les caractéristiques des biens et des services. Les termes « conditions du contrat » semblent quant à eux désigner les « clauses contractuelles »</w:t>
            </w:r>
            <w:r>
              <w:rPr>
                <w:rStyle w:val="Appelnotedebasdep"/>
                <w:lang w:val="fr-BE"/>
              </w:rPr>
              <w:footnoteReference w:id="9"/>
            </w:r>
            <w:r>
              <w:rPr>
                <w:lang w:val="fr-BE"/>
              </w:rPr>
              <w:t xml:space="preserve">. </w:t>
            </w:r>
          </w:p>
          <w:p w:rsidR="002F6321" w:rsidRDefault="002F6321" w:rsidP="00FC2FAE">
            <w:pPr>
              <w:jc w:val="both"/>
              <w:rPr>
                <w:lang w:val="fr-BE"/>
              </w:rPr>
            </w:pPr>
          </w:p>
          <w:p w:rsidR="002F6321" w:rsidRDefault="002F6321" w:rsidP="009342CD">
            <w:pPr>
              <w:jc w:val="both"/>
              <w:rPr>
                <w:lang w:val="fr-BE"/>
              </w:rPr>
            </w:pPr>
            <w:r>
              <w:rPr>
                <w:lang w:val="fr-BE"/>
              </w:rPr>
              <w:lastRenderedPageBreak/>
              <w:t>Une illustration de cette interdiction pourrait consister en une clause qui permettrait à l’une des parties de modifier unilatéralement le délai de livraison</w:t>
            </w:r>
            <w:r>
              <w:rPr>
                <w:rStyle w:val="Appelnotedebasdep"/>
                <w:lang w:val="fr-BE"/>
              </w:rPr>
              <w:footnoteReference w:id="10"/>
            </w:r>
            <w:r w:rsidR="00BF4912">
              <w:rPr>
                <w:lang w:val="fr-BE"/>
              </w:rPr>
              <w:t xml:space="preserve"> (</w:t>
            </w:r>
            <w:proofErr w:type="spellStart"/>
            <w:r w:rsidR="00BF4912">
              <w:rPr>
                <w:lang w:val="fr-BE"/>
              </w:rPr>
              <w:t>comp</w:t>
            </w:r>
            <w:proofErr w:type="spellEnd"/>
            <w:r w:rsidR="00BF4912">
              <w:rPr>
                <w:lang w:val="fr-BE"/>
              </w:rPr>
              <w:t>. avec l’article VI.83, 5°, du CDE, pour ce qui concerne les relations B2C)</w:t>
            </w:r>
            <w:r>
              <w:rPr>
                <w:lang w:val="fr-BE"/>
              </w:rPr>
              <w:t xml:space="preserve">. </w:t>
            </w:r>
          </w:p>
          <w:p w:rsidR="00BF4912" w:rsidRDefault="00BF4912" w:rsidP="009342CD">
            <w:pPr>
              <w:jc w:val="both"/>
              <w:rPr>
                <w:lang w:val="fr-BE"/>
              </w:rPr>
            </w:pPr>
          </w:p>
          <w:p w:rsidR="002F6321" w:rsidRDefault="002F6321" w:rsidP="009342CD">
            <w:pPr>
              <w:jc w:val="both"/>
              <w:rPr>
                <w:lang w:val="fr-BE"/>
              </w:rPr>
            </w:pPr>
            <w:r>
              <w:rPr>
                <w:lang w:val="fr-BE"/>
              </w:rPr>
              <w:t>La règle portée par l’article VI.91/5, 1°, du CDE (dans le cadre des relations B2B) semble éclatée entre diverses dispositions pour ce qui concerne les relations B2C (</w:t>
            </w:r>
            <w:proofErr w:type="spellStart"/>
            <w:r>
              <w:rPr>
                <w:lang w:val="fr-BE"/>
              </w:rPr>
              <w:t>voy</w:t>
            </w:r>
            <w:proofErr w:type="spellEnd"/>
            <w:r>
              <w:rPr>
                <w:lang w:val="fr-BE"/>
              </w:rPr>
              <w:t>. les articles VI.83, 2° à 5°, du CDE)</w:t>
            </w:r>
            <w:r w:rsidR="00120783">
              <w:rPr>
                <w:rStyle w:val="Appelnotedebasdep"/>
                <w:lang w:val="fr-BE"/>
              </w:rPr>
              <w:footnoteReference w:id="11"/>
            </w:r>
            <w:r>
              <w:rPr>
                <w:lang w:val="fr-BE"/>
              </w:rPr>
              <w:t>.</w:t>
            </w:r>
          </w:p>
          <w:p w:rsidR="002F6321" w:rsidRDefault="002F6321" w:rsidP="009342CD">
            <w:pPr>
              <w:jc w:val="both"/>
              <w:rPr>
                <w:lang w:val="fr-BE"/>
              </w:rPr>
            </w:pPr>
          </w:p>
          <w:p w:rsidR="002F6321" w:rsidRDefault="002F6321" w:rsidP="009342CD">
            <w:pPr>
              <w:jc w:val="both"/>
              <w:rPr>
                <w:lang w:val="fr-BE"/>
              </w:rPr>
            </w:pPr>
          </w:p>
          <w:p w:rsidR="002F6321" w:rsidRDefault="002F6321" w:rsidP="009342CD">
            <w:pPr>
              <w:jc w:val="both"/>
              <w:rPr>
                <w:lang w:val="fr-BE"/>
              </w:rPr>
            </w:pPr>
          </w:p>
          <w:p w:rsidR="002F6321" w:rsidRDefault="002F6321" w:rsidP="009342CD">
            <w:pPr>
              <w:jc w:val="both"/>
              <w:rPr>
                <w:lang w:val="fr-BE"/>
              </w:rPr>
            </w:pPr>
          </w:p>
          <w:p w:rsidR="002F6321" w:rsidRDefault="002F6321" w:rsidP="009342CD">
            <w:pPr>
              <w:jc w:val="both"/>
              <w:rPr>
                <w:lang w:val="fr-BE"/>
              </w:rPr>
            </w:pPr>
          </w:p>
          <w:p w:rsidR="002F6321" w:rsidRDefault="002F6321" w:rsidP="009342CD">
            <w:pPr>
              <w:jc w:val="both"/>
              <w:rPr>
                <w:lang w:val="fr-BE"/>
              </w:rPr>
            </w:pPr>
          </w:p>
          <w:p w:rsidR="002F6321" w:rsidRDefault="002F6321" w:rsidP="009342CD">
            <w:pPr>
              <w:jc w:val="both"/>
              <w:rPr>
                <w:lang w:val="fr-BE"/>
              </w:rPr>
            </w:pPr>
          </w:p>
          <w:p w:rsidR="002F6321" w:rsidRDefault="002F6321" w:rsidP="009342CD">
            <w:pPr>
              <w:jc w:val="both"/>
              <w:rPr>
                <w:lang w:val="fr-BE"/>
              </w:rPr>
            </w:pPr>
          </w:p>
          <w:p w:rsidR="002F6321" w:rsidRDefault="002F6321" w:rsidP="009342CD">
            <w:pPr>
              <w:jc w:val="both"/>
              <w:rPr>
                <w:lang w:val="fr-BE"/>
              </w:rPr>
            </w:pPr>
          </w:p>
          <w:p w:rsidR="002F6321" w:rsidRDefault="002F6321" w:rsidP="009342CD">
            <w:pPr>
              <w:jc w:val="both"/>
              <w:rPr>
                <w:lang w:val="fr-BE"/>
              </w:rPr>
            </w:pPr>
          </w:p>
          <w:p w:rsidR="002F6321" w:rsidRDefault="002F6321" w:rsidP="00360931">
            <w:pPr>
              <w:jc w:val="both"/>
              <w:rPr>
                <w:lang w:val="fr-BE"/>
              </w:rPr>
            </w:pPr>
          </w:p>
          <w:p w:rsidR="002F6321" w:rsidRDefault="002F6321" w:rsidP="00360931">
            <w:pPr>
              <w:jc w:val="both"/>
              <w:rPr>
                <w:lang w:val="fr-BE"/>
              </w:rPr>
            </w:pPr>
          </w:p>
          <w:p w:rsidR="00BF4912" w:rsidRDefault="00BF4912" w:rsidP="00360931">
            <w:pPr>
              <w:jc w:val="both"/>
              <w:rPr>
                <w:lang w:val="fr-BE"/>
              </w:rPr>
            </w:pPr>
          </w:p>
          <w:p w:rsidR="00BF4912" w:rsidRDefault="00BF4912" w:rsidP="00360931">
            <w:pPr>
              <w:jc w:val="both"/>
              <w:rPr>
                <w:lang w:val="fr-BE"/>
              </w:rPr>
            </w:pPr>
          </w:p>
          <w:p w:rsidR="00BF4912" w:rsidRDefault="00BF4912" w:rsidP="00360931">
            <w:pPr>
              <w:jc w:val="both"/>
              <w:rPr>
                <w:lang w:val="fr-BE"/>
              </w:rPr>
            </w:pPr>
          </w:p>
          <w:p w:rsidR="00BF4912" w:rsidRDefault="00BF4912" w:rsidP="00360931">
            <w:pPr>
              <w:jc w:val="both"/>
              <w:rPr>
                <w:lang w:val="fr-BE"/>
              </w:rPr>
            </w:pPr>
          </w:p>
          <w:p w:rsidR="004F2B3C" w:rsidRDefault="004F2B3C" w:rsidP="002F6321">
            <w:pPr>
              <w:jc w:val="both"/>
              <w:rPr>
                <w:lang w:val="fr-BE"/>
              </w:rPr>
            </w:pPr>
          </w:p>
          <w:p w:rsidR="004F2B3C" w:rsidRDefault="004F2B3C" w:rsidP="002F6321">
            <w:pPr>
              <w:jc w:val="both"/>
              <w:rPr>
                <w:lang w:val="fr-BE"/>
              </w:rPr>
            </w:pPr>
          </w:p>
          <w:p w:rsidR="004F2B3C" w:rsidRDefault="004F2B3C" w:rsidP="002F6321">
            <w:pPr>
              <w:jc w:val="both"/>
              <w:rPr>
                <w:lang w:val="fr-BE"/>
              </w:rPr>
            </w:pPr>
          </w:p>
          <w:p w:rsidR="004F2B3C" w:rsidRDefault="004F2B3C" w:rsidP="002F6321">
            <w:pPr>
              <w:jc w:val="both"/>
              <w:rPr>
                <w:lang w:val="fr-BE"/>
              </w:rPr>
            </w:pPr>
          </w:p>
          <w:p w:rsidR="004F2B3C" w:rsidRDefault="004F2B3C" w:rsidP="002F6321">
            <w:pPr>
              <w:jc w:val="both"/>
              <w:rPr>
                <w:lang w:val="fr-BE"/>
              </w:rPr>
            </w:pPr>
          </w:p>
          <w:p w:rsidR="004F2B3C" w:rsidRDefault="004F2B3C" w:rsidP="002F6321">
            <w:pPr>
              <w:jc w:val="both"/>
              <w:rPr>
                <w:lang w:val="fr-BE"/>
              </w:rPr>
            </w:pPr>
          </w:p>
          <w:p w:rsidR="004F2B3C" w:rsidRDefault="004F2B3C" w:rsidP="002F6321">
            <w:pPr>
              <w:jc w:val="both"/>
              <w:rPr>
                <w:lang w:val="fr-BE"/>
              </w:rPr>
            </w:pPr>
          </w:p>
          <w:p w:rsidR="004F2B3C" w:rsidRDefault="004F2B3C" w:rsidP="002F6321">
            <w:pPr>
              <w:jc w:val="both"/>
              <w:rPr>
                <w:lang w:val="fr-BE"/>
              </w:rPr>
            </w:pPr>
          </w:p>
          <w:p w:rsidR="004F2B3C" w:rsidRDefault="004F2B3C" w:rsidP="002F6321">
            <w:pPr>
              <w:jc w:val="both"/>
              <w:rPr>
                <w:lang w:val="fr-BE"/>
              </w:rPr>
            </w:pPr>
          </w:p>
          <w:p w:rsidR="004F2B3C" w:rsidRDefault="004F2B3C" w:rsidP="002F6321">
            <w:pPr>
              <w:jc w:val="both"/>
              <w:rPr>
                <w:lang w:val="fr-BE"/>
              </w:rPr>
            </w:pPr>
          </w:p>
          <w:p w:rsidR="004F2B3C" w:rsidRDefault="004F2B3C" w:rsidP="002F6321">
            <w:pPr>
              <w:jc w:val="both"/>
              <w:rPr>
                <w:lang w:val="fr-BE"/>
              </w:rPr>
            </w:pPr>
          </w:p>
          <w:p w:rsidR="004F2B3C" w:rsidRDefault="004F2B3C" w:rsidP="002F6321">
            <w:pPr>
              <w:jc w:val="both"/>
              <w:rPr>
                <w:lang w:val="fr-BE"/>
              </w:rPr>
            </w:pPr>
          </w:p>
          <w:p w:rsidR="004F2B3C" w:rsidRDefault="004F2B3C" w:rsidP="002F6321">
            <w:pPr>
              <w:jc w:val="both"/>
              <w:rPr>
                <w:lang w:val="fr-BE"/>
              </w:rPr>
            </w:pPr>
          </w:p>
          <w:p w:rsidR="002F6321" w:rsidRDefault="002F6321" w:rsidP="002F6321">
            <w:pPr>
              <w:jc w:val="both"/>
              <w:rPr>
                <w:lang w:val="fr-BE"/>
              </w:rPr>
            </w:pPr>
            <w:r>
              <w:rPr>
                <w:lang w:val="fr-BE"/>
              </w:rPr>
              <w:t>La règle portée par l’article VI.91/5, 1°, du CDE (dans le cadre des relations B2B) semble éclatée entre diverses dispositions pour ce qui concerne les relations B2C (</w:t>
            </w:r>
            <w:proofErr w:type="spellStart"/>
            <w:r>
              <w:rPr>
                <w:lang w:val="fr-BE"/>
              </w:rPr>
              <w:t>voy</w:t>
            </w:r>
            <w:proofErr w:type="spellEnd"/>
            <w:r>
              <w:rPr>
                <w:lang w:val="fr-BE"/>
              </w:rPr>
              <w:t>. les articles VI.83, 2° à 5°, du CDE).</w:t>
            </w:r>
          </w:p>
          <w:p w:rsidR="002F6321" w:rsidRDefault="002F6321" w:rsidP="00360931">
            <w:pPr>
              <w:jc w:val="both"/>
              <w:rPr>
                <w:lang w:val="fr-BE"/>
              </w:rPr>
            </w:pPr>
          </w:p>
          <w:p w:rsidR="002F6321" w:rsidRDefault="002F6321" w:rsidP="00360931">
            <w:pPr>
              <w:jc w:val="both"/>
              <w:rPr>
                <w:lang w:val="fr-BE"/>
              </w:rPr>
            </w:pPr>
          </w:p>
          <w:p w:rsidR="00444FE1" w:rsidRDefault="00444FE1" w:rsidP="00360931">
            <w:pPr>
              <w:jc w:val="both"/>
              <w:rPr>
                <w:lang w:val="fr-BE"/>
              </w:rPr>
            </w:pPr>
          </w:p>
          <w:p w:rsidR="00444FE1" w:rsidRDefault="00444FE1" w:rsidP="00360931">
            <w:pPr>
              <w:jc w:val="both"/>
              <w:rPr>
                <w:lang w:val="fr-BE"/>
              </w:rPr>
            </w:pPr>
          </w:p>
          <w:p w:rsidR="00E05D52" w:rsidRDefault="00E05D52" w:rsidP="00360931">
            <w:pPr>
              <w:jc w:val="both"/>
              <w:rPr>
                <w:lang w:val="fr-BE"/>
              </w:rPr>
            </w:pPr>
          </w:p>
          <w:p w:rsidR="00E05D52" w:rsidRDefault="00E05D52" w:rsidP="00360931">
            <w:pPr>
              <w:jc w:val="both"/>
              <w:rPr>
                <w:lang w:val="fr-BE"/>
              </w:rPr>
            </w:pPr>
          </w:p>
          <w:p w:rsidR="00E05D52" w:rsidRDefault="00E05D52" w:rsidP="00360931">
            <w:pPr>
              <w:jc w:val="both"/>
              <w:rPr>
                <w:lang w:val="fr-BE"/>
              </w:rPr>
            </w:pPr>
          </w:p>
          <w:p w:rsidR="004F2B3C" w:rsidRDefault="004F2B3C" w:rsidP="00360931">
            <w:pPr>
              <w:jc w:val="both"/>
              <w:rPr>
                <w:lang w:val="fr-BE"/>
              </w:rPr>
            </w:pPr>
          </w:p>
          <w:p w:rsidR="004F2B3C" w:rsidRDefault="004F2B3C" w:rsidP="00360931">
            <w:pPr>
              <w:jc w:val="both"/>
              <w:rPr>
                <w:lang w:val="fr-BE"/>
              </w:rPr>
            </w:pPr>
          </w:p>
          <w:p w:rsidR="004F2B3C" w:rsidRDefault="004F2B3C" w:rsidP="00360931">
            <w:pPr>
              <w:jc w:val="both"/>
              <w:rPr>
                <w:lang w:val="fr-BE"/>
              </w:rPr>
            </w:pPr>
          </w:p>
          <w:p w:rsidR="004F2B3C" w:rsidRDefault="004F2B3C" w:rsidP="00360931">
            <w:pPr>
              <w:jc w:val="both"/>
              <w:rPr>
                <w:lang w:val="fr-BE"/>
              </w:rPr>
            </w:pPr>
          </w:p>
          <w:p w:rsidR="004F2B3C" w:rsidRDefault="004F2B3C" w:rsidP="00360931">
            <w:pPr>
              <w:jc w:val="both"/>
              <w:rPr>
                <w:lang w:val="fr-BE"/>
              </w:rPr>
            </w:pPr>
          </w:p>
          <w:p w:rsidR="004F2B3C" w:rsidRDefault="004F2B3C" w:rsidP="00360931">
            <w:pPr>
              <w:jc w:val="both"/>
              <w:rPr>
                <w:lang w:val="fr-BE"/>
              </w:rPr>
            </w:pPr>
          </w:p>
          <w:p w:rsidR="004F2B3C" w:rsidRDefault="004F2B3C" w:rsidP="00360931">
            <w:pPr>
              <w:jc w:val="both"/>
              <w:rPr>
                <w:lang w:val="fr-BE"/>
              </w:rPr>
            </w:pPr>
          </w:p>
          <w:p w:rsidR="004F2B3C" w:rsidRDefault="004F2B3C" w:rsidP="00360931">
            <w:pPr>
              <w:jc w:val="both"/>
              <w:rPr>
                <w:lang w:val="fr-BE"/>
              </w:rPr>
            </w:pPr>
          </w:p>
          <w:p w:rsidR="004F2B3C" w:rsidRDefault="004F2B3C" w:rsidP="00360931">
            <w:pPr>
              <w:jc w:val="both"/>
              <w:rPr>
                <w:lang w:val="fr-BE"/>
              </w:rPr>
            </w:pPr>
          </w:p>
          <w:p w:rsidR="004F2B3C" w:rsidRDefault="004F2B3C" w:rsidP="00360931">
            <w:pPr>
              <w:jc w:val="both"/>
              <w:rPr>
                <w:lang w:val="fr-BE"/>
              </w:rPr>
            </w:pPr>
          </w:p>
          <w:p w:rsidR="004F2B3C" w:rsidRDefault="004F2B3C" w:rsidP="00360931">
            <w:pPr>
              <w:jc w:val="both"/>
              <w:rPr>
                <w:lang w:val="fr-BE"/>
              </w:rPr>
            </w:pPr>
          </w:p>
          <w:p w:rsidR="00E05D52" w:rsidRDefault="00E05D52" w:rsidP="00360931">
            <w:pPr>
              <w:jc w:val="both"/>
              <w:rPr>
                <w:lang w:val="fr-BE"/>
              </w:rPr>
            </w:pPr>
          </w:p>
          <w:p w:rsidR="002F6321" w:rsidRDefault="002F6321" w:rsidP="00360931">
            <w:pPr>
              <w:jc w:val="both"/>
              <w:rPr>
                <w:lang w:val="fr-BE"/>
              </w:rPr>
            </w:pPr>
            <w:r>
              <w:rPr>
                <w:lang w:val="fr-BE"/>
              </w:rPr>
              <w:t>La règle portée par l’article VI.91/5, 1°, du CDE (dans le cadre des relations B2B) semble éclatée entre diverses dispositions pour ce qui concerne les relations B2C (</w:t>
            </w:r>
            <w:proofErr w:type="spellStart"/>
            <w:r>
              <w:rPr>
                <w:lang w:val="fr-BE"/>
              </w:rPr>
              <w:t>voy</w:t>
            </w:r>
            <w:proofErr w:type="spellEnd"/>
            <w:r>
              <w:rPr>
                <w:lang w:val="fr-BE"/>
              </w:rPr>
              <w:t>. les articles VI.83, 2° à 5°, du CDE).</w:t>
            </w:r>
          </w:p>
          <w:p w:rsidR="002F6321" w:rsidRDefault="002F6321" w:rsidP="00360931">
            <w:pPr>
              <w:jc w:val="both"/>
              <w:rPr>
                <w:lang w:val="fr-BE"/>
              </w:rPr>
            </w:pPr>
          </w:p>
          <w:p w:rsidR="002F6321" w:rsidRPr="002F6321" w:rsidRDefault="002F6321" w:rsidP="002F6321">
            <w:pPr>
              <w:rPr>
                <w:lang w:val="fr-BE"/>
              </w:rPr>
            </w:pPr>
          </w:p>
          <w:p w:rsidR="002F6321" w:rsidRPr="002F6321" w:rsidRDefault="002F6321" w:rsidP="002F6321">
            <w:pPr>
              <w:rPr>
                <w:lang w:val="fr-BE"/>
              </w:rPr>
            </w:pPr>
          </w:p>
          <w:p w:rsidR="002F6321" w:rsidRDefault="002F6321" w:rsidP="002F6321">
            <w:pPr>
              <w:rPr>
                <w:lang w:val="fr-BE"/>
              </w:rPr>
            </w:pPr>
          </w:p>
          <w:p w:rsidR="002F6321" w:rsidRDefault="002F6321" w:rsidP="002F6321">
            <w:pPr>
              <w:rPr>
                <w:lang w:val="fr-BE"/>
              </w:rPr>
            </w:pPr>
          </w:p>
          <w:p w:rsidR="002F6321" w:rsidRPr="002F6321" w:rsidRDefault="002F6321" w:rsidP="002F6321">
            <w:pPr>
              <w:ind w:firstLine="720"/>
              <w:rPr>
                <w:lang w:val="fr-BE"/>
              </w:rPr>
            </w:pPr>
          </w:p>
        </w:tc>
        <w:tc>
          <w:tcPr>
            <w:tcW w:w="4395" w:type="dxa"/>
            <w:tcBorders>
              <w:top w:val="single" w:sz="4" w:space="0" w:color="auto"/>
              <w:left w:val="single" w:sz="4" w:space="0" w:color="auto"/>
              <w:bottom w:val="single" w:sz="4" w:space="0" w:color="auto"/>
              <w:right w:val="single" w:sz="4" w:space="0" w:color="auto"/>
            </w:tcBorders>
          </w:tcPr>
          <w:p w:rsidR="002F6321" w:rsidRDefault="002F6321" w:rsidP="00AC66C4">
            <w:pPr>
              <w:jc w:val="both"/>
              <w:rPr>
                <w:lang w:val="fr-BE"/>
              </w:rPr>
            </w:pPr>
            <w:r w:rsidRPr="00A85DEF">
              <w:rPr>
                <w:b/>
                <w:lang w:val="fr-BE"/>
              </w:rPr>
              <w:lastRenderedPageBreak/>
              <w:t>(B2C)</w:t>
            </w:r>
            <w:r>
              <w:rPr>
                <w:lang w:val="fr-BE"/>
              </w:rPr>
              <w:t xml:space="preserve"> Cette disposition </w:t>
            </w:r>
            <w:r w:rsidRPr="00AC66C4">
              <w:rPr>
                <w:lang w:val="fr-BE"/>
              </w:rPr>
              <w:t>vise à interdire</w:t>
            </w:r>
            <w:r>
              <w:rPr>
                <w:lang w:val="fr-BE"/>
              </w:rPr>
              <w:t xml:space="preserve">, </w:t>
            </w:r>
            <w:r w:rsidRPr="00AC66C4">
              <w:rPr>
                <w:lang w:val="fr-BE"/>
              </w:rPr>
              <w:t xml:space="preserve">dans un contrat à durée </w:t>
            </w:r>
            <w:r w:rsidRPr="005A7E33">
              <w:rPr>
                <w:i/>
                <w:lang w:val="fr-BE"/>
              </w:rPr>
              <w:t>indéterminée</w:t>
            </w:r>
            <w:r>
              <w:rPr>
                <w:lang w:val="fr-BE"/>
              </w:rPr>
              <w:t xml:space="preserve">, </w:t>
            </w:r>
            <w:r w:rsidRPr="00AC66C4">
              <w:rPr>
                <w:lang w:val="fr-BE"/>
              </w:rPr>
              <w:t>les clauses qui</w:t>
            </w:r>
            <w:r>
              <w:rPr>
                <w:lang w:val="fr-BE"/>
              </w:rPr>
              <w:t xml:space="preserve"> :</w:t>
            </w:r>
            <w:r w:rsidRPr="00AC66C4">
              <w:rPr>
                <w:lang w:val="fr-BE"/>
              </w:rPr>
              <w:t xml:space="preserve"> </w:t>
            </w:r>
          </w:p>
          <w:p w:rsidR="002F6321" w:rsidRDefault="002F6321" w:rsidP="00B128EB">
            <w:pPr>
              <w:pStyle w:val="Paragraphedeliste"/>
              <w:numPr>
                <w:ilvl w:val="0"/>
                <w:numId w:val="2"/>
              </w:numPr>
              <w:jc w:val="both"/>
              <w:rPr>
                <w:lang w:val="fr-BE"/>
              </w:rPr>
            </w:pPr>
            <w:r>
              <w:rPr>
                <w:lang w:val="fr-BE"/>
              </w:rPr>
              <w:t xml:space="preserve">soit prévoient que </w:t>
            </w:r>
            <w:r w:rsidRPr="00B128EB">
              <w:rPr>
                <w:lang w:val="fr-BE"/>
              </w:rPr>
              <w:t>le prix d’un produit</w:t>
            </w:r>
            <w:r>
              <w:rPr>
                <w:lang w:val="fr-BE"/>
              </w:rPr>
              <w:t xml:space="preserve"> sera fixé</w:t>
            </w:r>
            <w:r w:rsidRPr="00B128EB">
              <w:rPr>
                <w:lang w:val="fr-BE"/>
              </w:rPr>
              <w:t xml:space="preserve"> lors de la livraison</w:t>
            </w:r>
            <w:r>
              <w:rPr>
                <w:lang w:val="fr-BE"/>
              </w:rPr>
              <w:t xml:space="preserve"> ; </w:t>
            </w:r>
          </w:p>
          <w:p w:rsidR="002F6321" w:rsidRDefault="002F6321" w:rsidP="00B128EB">
            <w:pPr>
              <w:pStyle w:val="Paragraphedeliste"/>
              <w:numPr>
                <w:ilvl w:val="0"/>
                <w:numId w:val="2"/>
              </w:numPr>
              <w:jc w:val="both"/>
              <w:rPr>
                <w:lang w:val="fr-BE"/>
              </w:rPr>
            </w:pPr>
            <w:r>
              <w:rPr>
                <w:lang w:val="fr-BE"/>
              </w:rPr>
              <w:t xml:space="preserve">soit permettent à l’entreprise  d’augmenter unilatéralement le prix ou de modifier les conditions du contrat (ex. les conditions générales) au détriment du consommateur sur la base d’éléments qui dépendent de sa seule volonté. </w:t>
            </w:r>
          </w:p>
          <w:p w:rsidR="002F6321" w:rsidRDefault="002F6321" w:rsidP="00B128EB">
            <w:pPr>
              <w:jc w:val="both"/>
              <w:rPr>
                <w:lang w:val="fr-BE"/>
              </w:rPr>
            </w:pPr>
            <w:r>
              <w:rPr>
                <w:lang w:val="fr-BE"/>
              </w:rPr>
              <w:t>D’une part, cette disposition est conforme au droit commun, lequel précise que</w:t>
            </w:r>
            <w:r w:rsidRPr="00B128EB">
              <w:rPr>
                <w:lang w:val="fr-BE"/>
              </w:rPr>
              <w:t xml:space="preserve"> l’objet de l’obligation doit être déterminé ou, à tout le moins, déterminable</w:t>
            </w:r>
            <w:r>
              <w:rPr>
                <w:lang w:val="fr-BE"/>
              </w:rPr>
              <w:t xml:space="preserve"> </w:t>
            </w:r>
            <w:r w:rsidR="00CF04C9">
              <w:rPr>
                <w:lang w:val="fr-BE"/>
              </w:rPr>
              <w:t>d</w:t>
            </w:r>
            <w:r w:rsidR="00CF04C9" w:rsidRPr="00525BB2">
              <w:rPr>
                <w:lang w:val="fr-BE"/>
              </w:rPr>
              <w:t>ès la conclusion du contrat</w:t>
            </w:r>
            <w:r w:rsidRPr="00B128EB">
              <w:rPr>
                <w:lang w:val="fr-BE"/>
              </w:rPr>
              <w:t xml:space="preserve"> (cf. art. 1129 du Code civil). </w:t>
            </w:r>
            <w:r>
              <w:rPr>
                <w:lang w:val="fr-BE"/>
              </w:rPr>
              <w:t xml:space="preserve">D’autre part, elle </w:t>
            </w:r>
            <w:r w:rsidRPr="00B128EB">
              <w:rPr>
                <w:lang w:val="fr-BE"/>
              </w:rPr>
              <w:t>vise à exclure le recours à la « </w:t>
            </w:r>
            <w:proofErr w:type="spellStart"/>
            <w:r w:rsidRPr="00B128EB">
              <w:rPr>
                <w:i/>
                <w:lang w:val="fr-BE"/>
              </w:rPr>
              <w:t>partijbeslissing</w:t>
            </w:r>
            <w:proofErr w:type="spellEnd"/>
            <w:r w:rsidRPr="00B128EB">
              <w:rPr>
                <w:i/>
                <w:lang w:val="fr-BE"/>
              </w:rPr>
              <w:t> </w:t>
            </w:r>
            <w:r w:rsidRPr="00B128EB">
              <w:rPr>
                <w:lang w:val="fr-BE"/>
              </w:rPr>
              <w:t xml:space="preserve">», à savoir, le pouvoir pour une partie de déterminer </w:t>
            </w:r>
            <w:r w:rsidR="00CF04C9">
              <w:rPr>
                <w:lang w:val="fr-BE"/>
              </w:rPr>
              <w:t>l</w:t>
            </w:r>
            <w:r w:rsidR="00CF04C9" w:rsidRPr="00525BB2">
              <w:rPr>
                <w:lang w:val="fr-BE"/>
              </w:rPr>
              <w:t xml:space="preserve">ibrement </w:t>
            </w:r>
            <w:r w:rsidRPr="00B128EB">
              <w:rPr>
                <w:lang w:val="fr-BE"/>
              </w:rPr>
              <w:t>l’objet de son obligation et de modifier unilatéralement le contenu de la convention.</w:t>
            </w:r>
          </w:p>
          <w:p w:rsidR="002F6321" w:rsidRPr="00B128EB" w:rsidRDefault="002F6321" w:rsidP="00B128EB">
            <w:pPr>
              <w:jc w:val="both"/>
              <w:rPr>
                <w:lang w:val="fr-BE"/>
              </w:rPr>
            </w:pPr>
            <w:r>
              <w:rPr>
                <w:lang w:val="fr-BE"/>
              </w:rPr>
              <w:lastRenderedPageBreak/>
              <w:t xml:space="preserve">Ne sont pas concernées par </w:t>
            </w:r>
            <w:r w:rsidR="00CF04C9">
              <w:rPr>
                <w:lang w:val="fr-BE"/>
              </w:rPr>
              <w:t>c</w:t>
            </w:r>
            <w:r w:rsidR="00CF04C9" w:rsidRPr="00525BB2">
              <w:rPr>
                <w:lang w:val="fr-BE"/>
              </w:rPr>
              <w:t>ette</w:t>
            </w:r>
            <w:r w:rsidR="00CF04C9">
              <w:rPr>
                <w:lang w:val="fr-BE"/>
              </w:rPr>
              <w:t xml:space="preserve"> </w:t>
            </w:r>
            <w:r>
              <w:rPr>
                <w:lang w:val="fr-BE"/>
              </w:rPr>
              <w:t>disposition</w:t>
            </w:r>
            <w:r w:rsidR="00CF04C9">
              <w:rPr>
                <w:lang w:val="fr-BE"/>
              </w:rPr>
              <w:t>,</w:t>
            </w:r>
            <w:r>
              <w:rPr>
                <w:lang w:val="fr-BE"/>
              </w:rPr>
              <w:t xml:space="preserve"> les clauses qui autorisent l’entreprise à faire varier le prix en fonction d’éléments objectifs tels que le prix des matières premières ou le nombre de prestations à effectuer. </w:t>
            </w:r>
          </w:p>
          <w:p w:rsidR="002F6321" w:rsidRDefault="002F6321" w:rsidP="00AC66C4">
            <w:pPr>
              <w:jc w:val="both"/>
              <w:rPr>
                <w:lang w:val="fr-BE"/>
              </w:rPr>
            </w:pPr>
            <w:r>
              <w:rPr>
                <w:lang w:val="fr-BE"/>
              </w:rPr>
              <w:t xml:space="preserve">L’entreprise a néanmoins le droit de </w:t>
            </w:r>
            <w:r w:rsidRPr="00AC66C4">
              <w:rPr>
                <w:lang w:val="fr-BE"/>
              </w:rPr>
              <w:t xml:space="preserve">modifier unilatéralement le prix ou les conditions du contrat pour autant que les </w:t>
            </w:r>
            <w:r>
              <w:rPr>
                <w:lang w:val="fr-BE"/>
              </w:rPr>
              <w:t xml:space="preserve">deux conditions cumulatives suivantes soient remplies : a) les </w:t>
            </w:r>
            <w:r w:rsidRPr="00AC66C4">
              <w:rPr>
                <w:lang w:val="fr-BE"/>
              </w:rPr>
              <w:t xml:space="preserve">modifications projetées </w:t>
            </w:r>
            <w:r>
              <w:rPr>
                <w:lang w:val="fr-BE"/>
              </w:rPr>
              <w:t xml:space="preserve">doivent être </w:t>
            </w:r>
            <w:r w:rsidRPr="00AC66C4">
              <w:rPr>
                <w:lang w:val="fr-BE"/>
              </w:rPr>
              <w:t xml:space="preserve">portées préalablement à la connaissance du consommateur et </w:t>
            </w:r>
            <w:r>
              <w:rPr>
                <w:lang w:val="fr-BE"/>
              </w:rPr>
              <w:t xml:space="preserve">b) </w:t>
            </w:r>
            <w:r w:rsidRPr="00AC66C4">
              <w:rPr>
                <w:lang w:val="fr-BE"/>
              </w:rPr>
              <w:t xml:space="preserve">ce dernier </w:t>
            </w:r>
            <w:r>
              <w:rPr>
                <w:lang w:val="fr-BE"/>
              </w:rPr>
              <w:t xml:space="preserve">dispose d’un délai raisonnable pour </w:t>
            </w:r>
            <w:r w:rsidRPr="00AC66C4">
              <w:rPr>
                <w:lang w:val="fr-BE"/>
              </w:rPr>
              <w:t>mettre fin à la convention</w:t>
            </w:r>
            <w:r>
              <w:rPr>
                <w:lang w:val="fr-BE"/>
              </w:rPr>
              <w:t xml:space="preserve"> sans frais ou dommages et intérêts</w:t>
            </w:r>
            <w:r w:rsidRPr="00AC66C4">
              <w:rPr>
                <w:lang w:val="fr-BE"/>
              </w:rPr>
              <w:t>.</w:t>
            </w:r>
          </w:p>
          <w:p w:rsidR="00F90443" w:rsidRPr="00AC66C4" w:rsidRDefault="00F90443" w:rsidP="00AC66C4">
            <w:pPr>
              <w:jc w:val="both"/>
              <w:rPr>
                <w:lang w:val="fr-BE"/>
              </w:rPr>
            </w:pPr>
            <w:r>
              <w:rPr>
                <w:lang w:val="fr-BE"/>
              </w:rPr>
              <w:t>Il existe des règles particulières en matière de clauses d’indexation</w:t>
            </w:r>
            <w:r>
              <w:rPr>
                <w:rStyle w:val="Appelnotedebasdep"/>
                <w:lang w:val="fr-BE"/>
              </w:rPr>
              <w:footnoteReference w:id="12"/>
            </w:r>
            <w:r>
              <w:rPr>
                <w:lang w:val="fr-BE"/>
              </w:rPr>
              <w:t xml:space="preserve"> et de services financiers. </w:t>
            </w:r>
          </w:p>
          <w:p w:rsidR="00E21507" w:rsidRDefault="002F6321" w:rsidP="00AC66C4">
            <w:pPr>
              <w:jc w:val="both"/>
              <w:rPr>
                <w:lang w:val="fr-BE"/>
              </w:rPr>
            </w:pPr>
            <w:r w:rsidRPr="00AC66C4">
              <w:rPr>
                <w:lang w:val="fr-BE"/>
              </w:rPr>
              <w:t xml:space="preserve">NB : la notion de « produit » vise les biens et les services, les biens immeubles, les </w:t>
            </w:r>
            <w:r w:rsidRPr="00AC66C4">
              <w:rPr>
                <w:lang w:val="fr-BE"/>
              </w:rPr>
              <w:lastRenderedPageBreak/>
              <w:t>droits et les obligations (cf. art. I.1, 4°, du CDE</w:t>
            </w:r>
            <w:r>
              <w:rPr>
                <w:lang w:val="fr-BE"/>
              </w:rPr>
              <w:t>).</w:t>
            </w:r>
          </w:p>
          <w:p w:rsidR="00A4308F" w:rsidRDefault="00A4308F" w:rsidP="00AC66C4">
            <w:pPr>
              <w:jc w:val="both"/>
              <w:rPr>
                <w:lang w:val="fr-BE"/>
              </w:rPr>
            </w:pPr>
          </w:p>
          <w:p w:rsidR="00E21507" w:rsidRDefault="00A4308F" w:rsidP="00AC66C4">
            <w:pPr>
              <w:jc w:val="both"/>
              <w:rPr>
                <w:lang w:val="fr-BE"/>
              </w:rPr>
            </w:pPr>
            <w:r>
              <w:rPr>
                <w:lang w:val="fr-BE"/>
              </w:rPr>
              <w:t>Nous renvoyons le lecteur à la contribution de M</w:t>
            </w:r>
            <w:r w:rsidR="00DE049C">
              <w:rPr>
                <w:lang w:val="fr-BE"/>
              </w:rPr>
              <w:t xml:space="preserve">. </w:t>
            </w:r>
            <w:proofErr w:type="spellStart"/>
            <w:r>
              <w:rPr>
                <w:lang w:val="fr-BE"/>
              </w:rPr>
              <w:t>Houbben</w:t>
            </w:r>
            <w:proofErr w:type="spellEnd"/>
            <w:r>
              <w:rPr>
                <w:lang w:val="fr-BE"/>
              </w:rPr>
              <w:t>, dans le présent ouvrage, sur les clauses potestatives.</w:t>
            </w:r>
          </w:p>
        </w:tc>
      </w:tr>
      <w:tr w:rsidR="002F6321" w:rsidRPr="00151932" w:rsidTr="00A86A87">
        <w:tc>
          <w:tcPr>
            <w:tcW w:w="4248" w:type="dxa"/>
            <w:tcBorders>
              <w:top w:val="single" w:sz="4" w:space="0" w:color="auto"/>
              <w:right w:val="single" w:sz="4" w:space="0" w:color="auto"/>
            </w:tcBorders>
          </w:tcPr>
          <w:p w:rsidR="002F6321" w:rsidRPr="00592AE9" w:rsidRDefault="00E05D52" w:rsidP="00592AE9">
            <w:pPr>
              <w:jc w:val="both"/>
              <w:rPr>
                <w:i/>
                <w:lang w:val="fr-BE"/>
              </w:rPr>
            </w:pPr>
            <w:r>
              <w:rPr>
                <w:lang w:val="fr-BE"/>
              </w:rPr>
              <w:lastRenderedPageBreak/>
              <w:t xml:space="preserve">VI.83, 3°, du CDE </w:t>
            </w:r>
            <w:r w:rsidR="002F6321">
              <w:rPr>
                <w:lang w:val="fr-BE"/>
              </w:rPr>
              <w:t>: « </w:t>
            </w:r>
            <w:r w:rsidR="002F6321" w:rsidRPr="005A7E33">
              <w:rPr>
                <w:i/>
                <w:lang w:val="fr-BE"/>
              </w:rPr>
              <w:t>déterminer, dans les contrats à durée déterminée, que</w:t>
            </w:r>
            <w:r w:rsidR="002F6321" w:rsidRPr="00592AE9">
              <w:rPr>
                <w:i/>
                <w:lang w:val="fr-BE"/>
              </w:rPr>
              <w:t xml:space="preserve"> le prix des produits est fixé au moment de la livraison ou</w:t>
            </w:r>
            <w:r w:rsidR="002F6321" w:rsidRPr="00592AE9">
              <w:rPr>
                <w:lang w:val="fr-BE"/>
              </w:rPr>
              <w:t xml:space="preserve"> </w:t>
            </w:r>
            <w:r w:rsidR="002F6321" w:rsidRPr="00592AE9">
              <w:rPr>
                <w:i/>
                <w:lang w:val="fr-BE"/>
              </w:rPr>
              <w:t>permettre à l’entreprise d’augmenter unilatéralement le prix ou de modifier les conditions au détriment du consommateur sur la base d</w:t>
            </w:r>
            <w:r w:rsidR="002F6321">
              <w:rPr>
                <w:i/>
                <w:lang w:val="fr-BE"/>
              </w:rPr>
              <w:t>’</w:t>
            </w:r>
            <w:r w:rsidR="002F6321" w:rsidRPr="00592AE9">
              <w:rPr>
                <w:i/>
                <w:lang w:val="fr-BE"/>
              </w:rPr>
              <w:t>éléments qui dépendent de sa seule volonté, même si la possibilité de mettre fin au contrat est alors offerte au consommateur.</w:t>
            </w:r>
          </w:p>
          <w:p w:rsidR="002F6321" w:rsidRDefault="002F6321" w:rsidP="00592AE9">
            <w:pPr>
              <w:jc w:val="both"/>
              <w:rPr>
                <w:lang w:val="fr-BE"/>
              </w:rPr>
            </w:pPr>
            <w:r w:rsidRPr="00592AE9">
              <w:rPr>
                <w:i/>
                <w:lang w:val="fr-BE"/>
              </w:rPr>
              <w:t xml:space="preserve">  Les exceptions prévues au 2°, alinéa 2, s’appliquent également en ce qui concerne le cas visé à l’alinéa 1</w:t>
            </w:r>
            <w:r w:rsidRPr="00592AE9">
              <w:rPr>
                <w:i/>
                <w:vertAlign w:val="superscript"/>
                <w:lang w:val="fr-BE"/>
              </w:rPr>
              <w:t>er</w:t>
            </w:r>
            <w:r>
              <w:rPr>
                <w:lang w:val="fr-BE"/>
              </w:rPr>
              <w:t> ».</w:t>
            </w:r>
          </w:p>
          <w:p w:rsidR="002F6321" w:rsidRDefault="002F6321" w:rsidP="00AB6CAA">
            <w:pPr>
              <w:jc w:val="both"/>
              <w:rPr>
                <w:lang w:val="fr-BE"/>
              </w:rPr>
            </w:pPr>
          </w:p>
          <w:p w:rsidR="002F6321" w:rsidRDefault="002F6321" w:rsidP="00AC66C4">
            <w:pPr>
              <w:jc w:val="both"/>
              <w:rPr>
                <w:lang w:val="fr-BE"/>
              </w:rPr>
            </w:pPr>
            <w:r>
              <w:rPr>
                <w:lang w:val="fr-BE"/>
              </w:rPr>
              <w:t xml:space="preserve">Clause figurant dans la </w:t>
            </w:r>
            <w:r w:rsidRPr="00E7773C">
              <w:rPr>
                <w:b/>
                <w:lang w:val="fr-BE"/>
              </w:rPr>
              <w:t>liste noire</w:t>
            </w:r>
            <w:r>
              <w:rPr>
                <w:lang w:val="fr-BE"/>
              </w:rPr>
              <w:t xml:space="preserve">, abusive en toutes circonstances  </w:t>
            </w:r>
          </w:p>
          <w:p w:rsidR="00CE47A7" w:rsidRPr="00525BB2" w:rsidRDefault="00CE47A7" w:rsidP="00AC66C4">
            <w:pPr>
              <w:jc w:val="both"/>
              <w:rPr>
                <w:i/>
                <w:lang w:val="fr-BE"/>
              </w:rPr>
            </w:pPr>
          </w:p>
        </w:tc>
        <w:tc>
          <w:tcPr>
            <w:tcW w:w="4252" w:type="dxa"/>
            <w:vMerge/>
            <w:tcBorders>
              <w:left w:val="single" w:sz="4" w:space="0" w:color="auto"/>
              <w:right w:val="single" w:sz="4" w:space="0" w:color="auto"/>
            </w:tcBorders>
          </w:tcPr>
          <w:p w:rsidR="002F6321" w:rsidRDefault="002F6321" w:rsidP="00A01865">
            <w:pPr>
              <w:jc w:val="both"/>
              <w:rPr>
                <w:lang w:val="fr-BE"/>
              </w:rPr>
            </w:pPr>
          </w:p>
        </w:tc>
        <w:tc>
          <w:tcPr>
            <w:tcW w:w="4395" w:type="dxa"/>
            <w:tcBorders>
              <w:top w:val="single" w:sz="4" w:space="0" w:color="auto"/>
              <w:left w:val="single" w:sz="4" w:space="0" w:color="auto"/>
            </w:tcBorders>
          </w:tcPr>
          <w:p w:rsidR="002F6321" w:rsidRDefault="002F6321" w:rsidP="008814F9">
            <w:pPr>
              <w:jc w:val="both"/>
              <w:rPr>
                <w:lang w:val="fr-BE"/>
              </w:rPr>
            </w:pPr>
            <w:r w:rsidRPr="00AC66C4">
              <w:rPr>
                <w:b/>
                <w:lang w:val="fr-BE"/>
              </w:rPr>
              <w:t>(B2C)</w:t>
            </w:r>
            <w:r>
              <w:rPr>
                <w:lang w:val="fr-BE"/>
              </w:rPr>
              <w:t xml:space="preserve"> Cette disposition </w:t>
            </w:r>
            <w:r w:rsidRPr="00AC66C4">
              <w:rPr>
                <w:lang w:val="fr-BE"/>
              </w:rPr>
              <w:t>v</w:t>
            </w:r>
            <w:r>
              <w:rPr>
                <w:lang w:val="fr-BE"/>
              </w:rPr>
              <w:t xml:space="preserve">ise à interdire les clauses qui, dans un contrat à durée </w:t>
            </w:r>
            <w:r w:rsidRPr="005A7E33">
              <w:rPr>
                <w:i/>
                <w:lang w:val="fr-BE"/>
              </w:rPr>
              <w:t>déterminée</w:t>
            </w:r>
            <w:r>
              <w:rPr>
                <w:lang w:val="fr-BE"/>
              </w:rPr>
              <w:t xml:space="preserve"> :</w:t>
            </w:r>
            <w:r w:rsidRPr="00AC66C4">
              <w:rPr>
                <w:lang w:val="fr-BE"/>
              </w:rPr>
              <w:t xml:space="preserve"> </w:t>
            </w:r>
          </w:p>
          <w:p w:rsidR="002F6321" w:rsidRPr="00673B2F" w:rsidRDefault="002F6321" w:rsidP="00673B2F">
            <w:pPr>
              <w:jc w:val="both"/>
              <w:rPr>
                <w:lang w:val="fr-BE"/>
              </w:rPr>
            </w:pPr>
            <w:r w:rsidRPr="00673B2F">
              <w:rPr>
                <w:lang w:val="fr-BE"/>
              </w:rPr>
              <w:t>a)</w:t>
            </w:r>
            <w:r w:rsidRPr="00673B2F">
              <w:rPr>
                <w:lang w:val="fr-BE"/>
              </w:rPr>
              <w:tab/>
              <w:t xml:space="preserve">soit prévoient que le prix d’un produit sera fixé lors de la livraison ; </w:t>
            </w:r>
          </w:p>
          <w:p w:rsidR="002F6321" w:rsidRDefault="002F6321" w:rsidP="008814F9">
            <w:pPr>
              <w:jc w:val="both"/>
              <w:rPr>
                <w:lang w:val="fr-BE"/>
              </w:rPr>
            </w:pPr>
            <w:r w:rsidRPr="00673B2F">
              <w:rPr>
                <w:lang w:val="fr-BE"/>
              </w:rPr>
              <w:t>b)</w:t>
            </w:r>
            <w:r w:rsidRPr="00673B2F">
              <w:rPr>
                <w:lang w:val="fr-BE"/>
              </w:rPr>
              <w:tab/>
              <w:t>soit permettent à l’entreprise  d’augmenter unilatéralement le prix ou de modifier les conditions du contrat (ex. les conditions générales) au détriment du consommateur sur la base d’éléments qu</w:t>
            </w:r>
            <w:r>
              <w:rPr>
                <w:lang w:val="fr-BE"/>
              </w:rPr>
              <w:t xml:space="preserve">i dépendent de sa seule volonté </w:t>
            </w:r>
            <w:r w:rsidRPr="00AC66C4">
              <w:rPr>
                <w:lang w:val="fr-BE"/>
              </w:rPr>
              <w:t>(cf. art. 1129 et, pour la vente, art. 1591 et 1592 du Code civil, qui exigent que l’objet de l’obligation soit déterminé ou, à tout le moins, déterminable</w:t>
            </w:r>
            <w:r w:rsidR="00216104">
              <w:rPr>
                <w:lang w:val="fr-BE"/>
              </w:rPr>
              <w:t xml:space="preserve"> dès la conclusion du contrat</w:t>
            </w:r>
            <w:r w:rsidRPr="00AC66C4">
              <w:rPr>
                <w:lang w:val="fr-BE"/>
              </w:rPr>
              <w:t xml:space="preserve">). </w:t>
            </w:r>
          </w:p>
          <w:p w:rsidR="002F6321" w:rsidRDefault="002F6321" w:rsidP="008814F9">
            <w:pPr>
              <w:jc w:val="both"/>
              <w:rPr>
                <w:lang w:val="fr-BE"/>
              </w:rPr>
            </w:pPr>
            <w:r>
              <w:rPr>
                <w:lang w:val="fr-BE"/>
              </w:rPr>
              <w:t>Ainsi, la disposition vise à exclure le recours à la « </w:t>
            </w:r>
            <w:proofErr w:type="spellStart"/>
            <w:r w:rsidRPr="00FC2FAE">
              <w:rPr>
                <w:i/>
                <w:lang w:val="fr-BE"/>
              </w:rPr>
              <w:t>partijbeslissing</w:t>
            </w:r>
            <w:proofErr w:type="spellEnd"/>
            <w:r w:rsidRPr="00FC2FAE">
              <w:rPr>
                <w:i/>
                <w:lang w:val="fr-BE"/>
              </w:rPr>
              <w:t> </w:t>
            </w:r>
            <w:r>
              <w:rPr>
                <w:lang w:val="fr-BE"/>
              </w:rPr>
              <w:t>», telle que nous l’avons définie ci-dessus (cf. commentaire sous art. VI.83, 2°, du CDE).</w:t>
            </w:r>
          </w:p>
          <w:p w:rsidR="002F6321" w:rsidRDefault="002F6321" w:rsidP="008814F9">
            <w:pPr>
              <w:jc w:val="both"/>
              <w:rPr>
                <w:lang w:val="fr-BE"/>
              </w:rPr>
            </w:pPr>
          </w:p>
          <w:p w:rsidR="002F6321" w:rsidRDefault="002F6321" w:rsidP="008814F9">
            <w:pPr>
              <w:jc w:val="both"/>
              <w:rPr>
                <w:lang w:val="fr-BE"/>
              </w:rPr>
            </w:pPr>
            <w:r w:rsidRPr="00AC66C4">
              <w:rPr>
                <w:lang w:val="fr-BE"/>
              </w:rPr>
              <w:t xml:space="preserve">A la différence de ce qui est prévu à l’article VI.83, 2°, l’entreprise ne pourra en aucun </w:t>
            </w:r>
            <w:r w:rsidRPr="00AC66C4">
              <w:rPr>
                <w:lang w:val="fr-BE"/>
              </w:rPr>
              <w:lastRenderedPageBreak/>
              <w:t>cas</w:t>
            </w:r>
            <w:r w:rsidR="00F90443">
              <w:rPr>
                <w:rStyle w:val="Appelnotedebasdep"/>
                <w:lang w:val="fr-BE"/>
              </w:rPr>
              <w:footnoteReference w:id="13"/>
            </w:r>
            <w:r w:rsidRPr="00AC66C4">
              <w:rPr>
                <w:lang w:val="fr-BE"/>
              </w:rPr>
              <w:t xml:space="preserve"> (sauf les exceptions autorisées par la loi) fixer ou modifier unilatéralement le prix/les conditions du contrat, et ce même si le consommateur se voit reconnaître le droit de mettre fin au contrat.</w:t>
            </w:r>
          </w:p>
          <w:p w:rsidR="00052334" w:rsidRDefault="00052334" w:rsidP="008814F9">
            <w:pPr>
              <w:jc w:val="both"/>
              <w:rPr>
                <w:lang w:val="fr-BE"/>
              </w:rPr>
            </w:pPr>
          </w:p>
          <w:p w:rsidR="00052334" w:rsidRDefault="00052334" w:rsidP="00052334">
            <w:pPr>
              <w:jc w:val="both"/>
              <w:rPr>
                <w:lang w:val="fr-BE"/>
              </w:rPr>
            </w:pPr>
            <w:r>
              <w:rPr>
                <w:lang w:val="fr-BE"/>
              </w:rPr>
              <w:t>L’article VI.83, 3°, du CDE qui vise les contrats à durée déterminée</w:t>
            </w:r>
            <w:r w:rsidR="00CF13B9">
              <w:rPr>
                <w:lang w:val="fr-BE"/>
              </w:rPr>
              <w:t>,</w:t>
            </w:r>
            <w:r w:rsidR="00525BB2">
              <w:rPr>
                <w:lang w:val="fr-BE"/>
              </w:rPr>
              <w:t xml:space="preserve"> </w:t>
            </w:r>
            <w:r>
              <w:rPr>
                <w:lang w:val="fr-BE"/>
              </w:rPr>
              <w:t>pourrait s’appliquer à des conventions constitutives d’un droit de superficie ou d’emphytéose (pour ne citer que deux exemples intéressant la pratique notariale).</w:t>
            </w:r>
          </w:p>
          <w:p w:rsidR="00A4308F" w:rsidRDefault="00A4308F" w:rsidP="00052334">
            <w:pPr>
              <w:jc w:val="both"/>
              <w:rPr>
                <w:lang w:val="fr-BE"/>
              </w:rPr>
            </w:pPr>
          </w:p>
          <w:p w:rsidR="00A4308F" w:rsidRDefault="00A4308F" w:rsidP="00052334">
            <w:pPr>
              <w:jc w:val="both"/>
              <w:rPr>
                <w:lang w:val="fr-BE"/>
              </w:rPr>
            </w:pPr>
            <w:r>
              <w:rPr>
                <w:lang w:val="fr-BE"/>
              </w:rPr>
              <w:t>Nous renvoyons le lecteur à la contribution de M</w:t>
            </w:r>
            <w:r w:rsidR="00DE049C">
              <w:rPr>
                <w:lang w:val="fr-BE"/>
              </w:rPr>
              <w:t>.</w:t>
            </w:r>
            <w:r>
              <w:rPr>
                <w:lang w:val="fr-BE"/>
              </w:rPr>
              <w:t xml:space="preserve"> </w:t>
            </w:r>
            <w:proofErr w:type="spellStart"/>
            <w:r>
              <w:rPr>
                <w:lang w:val="fr-BE"/>
              </w:rPr>
              <w:t>Houbben</w:t>
            </w:r>
            <w:proofErr w:type="spellEnd"/>
            <w:r>
              <w:rPr>
                <w:lang w:val="fr-BE"/>
              </w:rPr>
              <w:t>, dans le présent ouvrage, sur les clauses potestatives.</w:t>
            </w:r>
          </w:p>
        </w:tc>
      </w:tr>
      <w:tr w:rsidR="002F6321" w:rsidRPr="00151932" w:rsidTr="00A86A87">
        <w:tc>
          <w:tcPr>
            <w:tcW w:w="4248" w:type="dxa"/>
            <w:tcBorders>
              <w:right w:val="single" w:sz="4" w:space="0" w:color="auto"/>
            </w:tcBorders>
          </w:tcPr>
          <w:p w:rsidR="002F6321" w:rsidRDefault="002F6321" w:rsidP="00E7773C">
            <w:pPr>
              <w:jc w:val="both"/>
              <w:rPr>
                <w:lang w:val="fr-BE"/>
              </w:rPr>
            </w:pPr>
            <w:r>
              <w:rPr>
                <w:lang w:val="fr-BE"/>
              </w:rPr>
              <w:lastRenderedPageBreak/>
              <w:t>Art. VI.83, 4°</w:t>
            </w:r>
            <w:r w:rsidR="00E05D52">
              <w:rPr>
                <w:lang w:val="fr-BE"/>
              </w:rPr>
              <w:t>, du CDE</w:t>
            </w:r>
            <w:r>
              <w:rPr>
                <w:lang w:val="fr-BE"/>
              </w:rPr>
              <w:t> : « </w:t>
            </w:r>
            <w:r>
              <w:rPr>
                <w:i/>
                <w:lang w:val="fr-BE"/>
              </w:rPr>
              <w:t>réserver à l’</w:t>
            </w:r>
            <w:r w:rsidRPr="004A197C">
              <w:rPr>
                <w:i/>
                <w:lang w:val="fr-BE"/>
              </w:rPr>
              <w:t>entreprise le droit de modifier unilatéralement les caractéristiques du produit à livrer, si ces caractéristiques revêtent un caractère essentiel pour le consomma</w:t>
            </w:r>
            <w:r>
              <w:rPr>
                <w:i/>
                <w:lang w:val="fr-BE"/>
              </w:rPr>
              <w:t>teur ou pour l’</w:t>
            </w:r>
            <w:r w:rsidRPr="004A197C">
              <w:rPr>
                <w:i/>
                <w:lang w:val="fr-BE"/>
              </w:rPr>
              <w:t>usage auquel le consommateur destine le produit, pour autant du moins que c</w:t>
            </w:r>
            <w:r>
              <w:rPr>
                <w:i/>
                <w:lang w:val="fr-BE"/>
              </w:rPr>
              <w:t>et usage ait été communiqué à l’</w:t>
            </w:r>
            <w:r w:rsidRPr="004A197C">
              <w:rPr>
                <w:i/>
                <w:lang w:val="fr-BE"/>
              </w:rPr>
              <w:t>entre</w:t>
            </w:r>
            <w:r>
              <w:rPr>
                <w:i/>
                <w:lang w:val="fr-BE"/>
              </w:rPr>
              <w:t>prise et accepté par elle ou qu’à défaut d’</w:t>
            </w:r>
            <w:r w:rsidRPr="004A197C">
              <w:rPr>
                <w:i/>
                <w:lang w:val="fr-BE"/>
              </w:rPr>
              <w:t>une telle spécification,</w:t>
            </w:r>
            <w:r>
              <w:rPr>
                <w:i/>
                <w:lang w:val="fr-BE"/>
              </w:rPr>
              <w:t xml:space="preserve"> </w:t>
            </w:r>
            <w:r w:rsidRPr="004A197C">
              <w:rPr>
                <w:i/>
                <w:lang w:val="fr-BE"/>
              </w:rPr>
              <w:t>cet usage ait été raisonnablement prévisible</w:t>
            </w:r>
            <w:r>
              <w:rPr>
                <w:lang w:val="fr-BE"/>
              </w:rPr>
              <w:t> »</w:t>
            </w:r>
          </w:p>
          <w:p w:rsidR="002F6321" w:rsidRDefault="002F6321" w:rsidP="0060620B">
            <w:pPr>
              <w:jc w:val="both"/>
              <w:rPr>
                <w:lang w:val="fr-BE"/>
              </w:rPr>
            </w:pPr>
          </w:p>
          <w:p w:rsidR="002F6321" w:rsidRDefault="002F6321" w:rsidP="0060620B">
            <w:pPr>
              <w:jc w:val="both"/>
              <w:rPr>
                <w:lang w:val="fr-BE"/>
              </w:rPr>
            </w:pPr>
            <w:r>
              <w:rPr>
                <w:lang w:val="fr-BE"/>
              </w:rPr>
              <w:lastRenderedPageBreak/>
              <w:t xml:space="preserve">Clause figurant dans la </w:t>
            </w:r>
            <w:r w:rsidRPr="00E7773C">
              <w:rPr>
                <w:b/>
                <w:lang w:val="fr-BE"/>
              </w:rPr>
              <w:t>liste noire</w:t>
            </w:r>
            <w:r>
              <w:rPr>
                <w:lang w:val="fr-BE"/>
              </w:rPr>
              <w:t>, abusive en toutes circonstances</w:t>
            </w:r>
          </w:p>
          <w:p w:rsidR="00052334" w:rsidRDefault="00052334" w:rsidP="0060620B">
            <w:pPr>
              <w:jc w:val="both"/>
              <w:rPr>
                <w:lang w:val="fr-BE"/>
              </w:rPr>
            </w:pPr>
          </w:p>
          <w:p w:rsidR="00052334" w:rsidRPr="00525BB2" w:rsidRDefault="00052334" w:rsidP="0060620B">
            <w:pPr>
              <w:jc w:val="both"/>
              <w:rPr>
                <w:i/>
                <w:lang w:val="fr-BE"/>
              </w:rPr>
            </w:pPr>
          </w:p>
        </w:tc>
        <w:tc>
          <w:tcPr>
            <w:tcW w:w="4252" w:type="dxa"/>
            <w:vMerge/>
            <w:tcBorders>
              <w:left w:val="single" w:sz="4" w:space="0" w:color="auto"/>
              <w:right w:val="single" w:sz="4" w:space="0" w:color="auto"/>
            </w:tcBorders>
          </w:tcPr>
          <w:p w:rsidR="002F6321" w:rsidRDefault="002F6321" w:rsidP="00E7773C">
            <w:pPr>
              <w:jc w:val="both"/>
              <w:rPr>
                <w:lang w:val="fr-BE"/>
              </w:rPr>
            </w:pPr>
          </w:p>
        </w:tc>
        <w:tc>
          <w:tcPr>
            <w:tcW w:w="4395" w:type="dxa"/>
            <w:tcBorders>
              <w:left w:val="single" w:sz="4" w:space="0" w:color="auto"/>
            </w:tcBorders>
          </w:tcPr>
          <w:p w:rsidR="002F6321" w:rsidRDefault="002F6321" w:rsidP="00AC66C4">
            <w:pPr>
              <w:jc w:val="both"/>
              <w:rPr>
                <w:lang w:val="fr-BE"/>
              </w:rPr>
            </w:pPr>
            <w:r w:rsidRPr="00AC66C4">
              <w:rPr>
                <w:b/>
                <w:lang w:val="fr-BE"/>
              </w:rPr>
              <w:t xml:space="preserve">(B2C) </w:t>
            </w:r>
            <w:r>
              <w:rPr>
                <w:lang w:val="fr-BE"/>
              </w:rPr>
              <w:t>Cette disposition interdit à l’entreprise de se réserver le droit de modifier unilatéralement une caractéristique essentielle du produit (sa nature, sa composition, son origine, sa disponibilité, sa date de fabrication, son usage, sa quantité, etc.), de telle sorte que le consommateur serait privé du droit d’introduire l’un des recours prévus par la loi (absence de conformité, erreur sur la substance, garantie des vices cachés, etc.).</w:t>
            </w:r>
          </w:p>
          <w:p w:rsidR="00052334" w:rsidRDefault="00052334" w:rsidP="00AC66C4">
            <w:pPr>
              <w:jc w:val="both"/>
              <w:rPr>
                <w:lang w:val="fr-BE"/>
              </w:rPr>
            </w:pPr>
          </w:p>
          <w:p w:rsidR="002F6321" w:rsidRDefault="00FA5A45">
            <w:pPr>
              <w:jc w:val="both"/>
              <w:rPr>
                <w:lang w:val="fr-BE"/>
              </w:rPr>
            </w:pPr>
            <w:r>
              <w:rPr>
                <w:lang w:val="fr-BE"/>
              </w:rPr>
              <w:lastRenderedPageBreak/>
              <w:t>A toutes fins utiles, précisons que l’interdiction vise non seulement la modification des caractéristiques (objective</w:t>
            </w:r>
            <w:r w:rsidR="009676D5">
              <w:rPr>
                <w:lang w:val="fr-BE"/>
              </w:rPr>
              <w:t>ment) essentielles, mais aussi d</w:t>
            </w:r>
            <w:r>
              <w:rPr>
                <w:lang w:val="fr-BE"/>
              </w:rPr>
              <w:t>es éléments dits « substantiels » (à savoir les usages spéciaux auxquels s’attend le consommateur et qui ont été portés à la connaissance de l’entreprise</w:t>
            </w:r>
            <w:r w:rsidR="009676D5">
              <w:rPr>
                <w:lang w:val="fr-BE"/>
              </w:rPr>
              <w:t>)</w:t>
            </w:r>
            <w:r w:rsidR="00F90443">
              <w:rPr>
                <w:rStyle w:val="Appelnotedebasdep"/>
                <w:lang w:val="fr-BE"/>
              </w:rPr>
              <w:t xml:space="preserve"> </w:t>
            </w:r>
            <w:r w:rsidR="00F90443">
              <w:rPr>
                <w:rStyle w:val="Appelnotedebasdep"/>
                <w:lang w:val="fr-BE"/>
              </w:rPr>
              <w:footnoteReference w:id="14"/>
            </w:r>
            <w:r>
              <w:rPr>
                <w:lang w:val="fr-BE"/>
              </w:rPr>
              <w:t xml:space="preserve">. </w:t>
            </w:r>
          </w:p>
          <w:p w:rsidR="00A4308F" w:rsidRDefault="00A4308F">
            <w:pPr>
              <w:jc w:val="both"/>
              <w:rPr>
                <w:lang w:val="fr-BE"/>
              </w:rPr>
            </w:pPr>
          </w:p>
          <w:p w:rsidR="00A4308F" w:rsidRDefault="00A4308F">
            <w:pPr>
              <w:jc w:val="both"/>
              <w:rPr>
                <w:lang w:val="fr-BE"/>
              </w:rPr>
            </w:pPr>
            <w:r>
              <w:rPr>
                <w:lang w:val="fr-BE"/>
              </w:rPr>
              <w:t>Nous renvoyons le lecteur à la contribution de M</w:t>
            </w:r>
            <w:r w:rsidR="00DE049C">
              <w:rPr>
                <w:lang w:val="fr-BE"/>
              </w:rPr>
              <w:t>.</w:t>
            </w:r>
            <w:r>
              <w:rPr>
                <w:lang w:val="fr-BE"/>
              </w:rPr>
              <w:t xml:space="preserve"> </w:t>
            </w:r>
            <w:proofErr w:type="spellStart"/>
            <w:r>
              <w:rPr>
                <w:lang w:val="fr-BE"/>
              </w:rPr>
              <w:t>Houbben</w:t>
            </w:r>
            <w:proofErr w:type="spellEnd"/>
            <w:r>
              <w:rPr>
                <w:lang w:val="fr-BE"/>
              </w:rPr>
              <w:t>, dans le présent ouvrage, sur les clauses potestatives.</w:t>
            </w:r>
          </w:p>
        </w:tc>
      </w:tr>
      <w:tr w:rsidR="002F6321" w:rsidRPr="00151932" w:rsidTr="00A86A87">
        <w:tc>
          <w:tcPr>
            <w:tcW w:w="4248" w:type="dxa"/>
            <w:tcBorders>
              <w:bottom w:val="single" w:sz="4" w:space="0" w:color="auto"/>
              <w:right w:val="single" w:sz="4" w:space="0" w:color="auto"/>
            </w:tcBorders>
          </w:tcPr>
          <w:p w:rsidR="002F6321" w:rsidRDefault="002F6321" w:rsidP="00E7773C">
            <w:pPr>
              <w:jc w:val="both"/>
              <w:rPr>
                <w:lang w:val="fr-BE"/>
              </w:rPr>
            </w:pPr>
            <w:r>
              <w:rPr>
                <w:lang w:val="fr-BE"/>
              </w:rPr>
              <w:lastRenderedPageBreak/>
              <w:t>VI.83, 5°</w:t>
            </w:r>
            <w:r w:rsidR="00E05D52">
              <w:rPr>
                <w:lang w:val="fr-BE"/>
              </w:rPr>
              <w:t>, du CDE</w:t>
            </w:r>
            <w:r>
              <w:rPr>
                <w:lang w:val="fr-BE"/>
              </w:rPr>
              <w:t> : « </w:t>
            </w:r>
            <w:r w:rsidRPr="00957F6B">
              <w:rPr>
                <w:i/>
                <w:lang w:val="fr-BE"/>
              </w:rPr>
              <w:t>fixer ou modifier unilatér</w:t>
            </w:r>
            <w:r>
              <w:rPr>
                <w:i/>
                <w:lang w:val="fr-BE"/>
              </w:rPr>
              <w:t>alement le délai de livraison d’</w:t>
            </w:r>
            <w:r w:rsidRPr="00957F6B">
              <w:rPr>
                <w:i/>
                <w:lang w:val="fr-BE"/>
              </w:rPr>
              <w:t>un produit</w:t>
            </w:r>
            <w:r>
              <w:rPr>
                <w:lang w:val="fr-BE"/>
              </w:rPr>
              <w:t> »</w:t>
            </w:r>
          </w:p>
          <w:p w:rsidR="002F6321" w:rsidRDefault="002F6321" w:rsidP="00E7773C">
            <w:pPr>
              <w:jc w:val="both"/>
              <w:rPr>
                <w:lang w:val="fr-BE"/>
              </w:rPr>
            </w:pPr>
          </w:p>
          <w:p w:rsidR="002F6321" w:rsidRDefault="002F6321" w:rsidP="007B7707">
            <w:pPr>
              <w:jc w:val="both"/>
              <w:rPr>
                <w:lang w:val="fr-BE"/>
              </w:rPr>
            </w:pPr>
          </w:p>
          <w:p w:rsidR="00DD0E2F" w:rsidRDefault="002F6321" w:rsidP="007B7707">
            <w:pPr>
              <w:jc w:val="both"/>
              <w:rPr>
                <w:lang w:val="fr-BE"/>
              </w:rPr>
            </w:pPr>
            <w:r>
              <w:rPr>
                <w:lang w:val="fr-BE"/>
              </w:rPr>
              <w:t xml:space="preserve">Clause figurant dans la </w:t>
            </w:r>
            <w:r w:rsidRPr="00E7773C">
              <w:rPr>
                <w:b/>
                <w:lang w:val="fr-BE"/>
              </w:rPr>
              <w:t>liste noire</w:t>
            </w:r>
            <w:r>
              <w:rPr>
                <w:lang w:val="fr-BE"/>
              </w:rPr>
              <w:t xml:space="preserve">, abusive en toutes circonstances </w:t>
            </w:r>
          </w:p>
          <w:p w:rsidR="00DD0E2F" w:rsidRDefault="00DD0E2F" w:rsidP="007B7707">
            <w:pPr>
              <w:jc w:val="both"/>
              <w:rPr>
                <w:lang w:val="fr-BE"/>
              </w:rPr>
            </w:pPr>
          </w:p>
          <w:p w:rsidR="002F6321" w:rsidRDefault="002F6321" w:rsidP="007B7707">
            <w:pPr>
              <w:jc w:val="both"/>
              <w:rPr>
                <w:lang w:val="fr-BE"/>
              </w:rPr>
            </w:pPr>
          </w:p>
        </w:tc>
        <w:tc>
          <w:tcPr>
            <w:tcW w:w="4252" w:type="dxa"/>
            <w:vMerge/>
            <w:tcBorders>
              <w:left w:val="single" w:sz="4" w:space="0" w:color="auto"/>
              <w:bottom w:val="single" w:sz="4" w:space="0" w:color="auto"/>
              <w:right w:val="single" w:sz="4" w:space="0" w:color="auto"/>
            </w:tcBorders>
          </w:tcPr>
          <w:p w:rsidR="002F6321" w:rsidRDefault="002F6321" w:rsidP="00E7773C">
            <w:pPr>
              <w:jc w:val="both"/>
              <w:rPr>
                <w:lang w:val="fr-BE"/>
              </w:rPr>
            </w:pPr>
          </w:p>
        </w:tc>
        <w:tc>
          <w:tcPr>
            <w:tcW w:w="4395" w:type="dxa"/>
            <w:tcBorders>
              <w:left w:val="single" w:sz="4" w:space="0" w:color="auto"/>
              <w:bottom w:val="single" w:sz="4" w:space="0" w:color="auto"/>
            </w:tcBorders>
          </w:tcPr>
          <w:p w:rsidR="002F6321" w:rsidRDefault="002F6321" w:rsidP="00E7773C">
            <w:pPr>
              <w:jc w:val="both"/>
              <w:rPr>
                <w:lang w:val="fr-BE"/>
              </w:rPr>
            </w:pPr>
            <w:r>
              <w:rPr>
                <w:lang w:val="fr-BE"/>
              </w:rPr>
              <w:t xml:space="preserve">Cette disposition vise à écarter la clause qui confère à l’entreprise un pouvoir à caractère purement potestatif (qui dépend de sa seule volonté). La disposition ne s’applique pas seulement à la délivrance du bien </w:t>
            </w:r>
            <w:r>
              <w:rPr>
                <w:i/>
                <w:lang w:val="fr-BE"/>
              </w:rPr>
              <w:t>sensu stricto</w:t>
            </w:r>
            <w:r>
              <w:rPr>
                <w:lang w:val="fr-BE"/>
              </w:rPr>
              <w:t>, mais peut aussi viser le délai d’exécution d’un service (ex. construction d’un immeuble), le délai de passation de l’acte authentique de vente, le délai de paiement du prix, etc.</w:t>
            </w:r>
          </w:p>
          <w:p w:rsidR="00E05D52" w:rsidRDefault="002F6321" w:rsidP="0036146B">
            <w:pPr>
              <w:jc w:val="both"/>
              <w:rPr>
                <w:lang w:val="fr-BE"/>
              </w:rPr>
            </w:pPr>
            <w:r>
              <w:rPr>
                <w:lang w:val="fr-BE"/>
              </w:rPr>
              <w:t>Selon M. Gouverneur</w:t>
            </w:r>
            <w:r>
              <w:rPr>
                <w:rStyle w:val="Appelnotedebasdep"/>
                <w:lang w:val="fr-BE"/>
              </w:rPr>
              <w:footnoteReference w:id="15"/>
            </w:r>
            <w:r>
              <w:rPr>
                <w:lang w:val="fr-BE"/>
              </w:rPr>
              <w:t>, l’article VI.83, 5°, du CDE crée une obligation indirecte de stipuler un délai de livraison</w:t>
            </w:r>
            <w:r w:rsidR="00057B52">
              <w:rPr>
                <w:lang w:val="fr-BE"/>
              </w:rPr>
              <w:t xml:space="preserve"> dès la conclusion du contrat</w:t>
            </w:r>
            <w:r>
              <w:rPr>
                <w:lang w:val="fr-BE"/>
              </w:rPr>
              <w:t xml:space="preserve">. L’absence de pareille clause permettrait en effet à l’entreprise de </w:t>
            </w:r>
            <w:r>
              <w:rPr>
                <w:lang w:val="fr-BE"/>
              </w:rPr>
              <w:lastRenderedPageBreak/>
              <w:t>livrer, selon son bon vouloir, dans le délai qu’elle détermine</w:t>
            </w:r>
            <w:r w:rsidR="001D4ABA">
              <w:rPr>
                <w:lang w:val="fr-BE"/>
              </w:rPr>
              <w:t xml:space="preserve"> ultérieurement</w:t>
            </w:r>
            <w:r>
              <w:rPr>
                <w:lang w:val="fr-BE"/>
              </w:rPr>
              <w:t>, ce que la disposition précitée</w:t>
            </w:r>
            <w:r>
              <w:rPr>
                <w:rStyle w:val="Appelnotedebasdep"/>
                <w:lang w:val="fr-BE"/>
              </w:rPr>
              <w:footnoteReference w:id="16"/>
            </w:r>
            <w:r w:rsidR="00525BB2">
              <w:rPr>
                <w:lang w:val="fr-BE"/>
              </w:rPr>
              <w:t xml:space="preserve"> vise précisément à éviter. </w:t>
            </w:r>
          </w:p>
          <w:p w:rsidR="004F2B3C" w:rsidRDefault="004F2B3C" w:rsidP="0036146B">
            <w:pPr>
              <w:jc w:val="both"/>
              <w:rPr>
                <w:lang w:val="fr-BE"/>
              </w:rPr>
            </w:pPr>
          </w:p>
          <w:p w:rsidR="004F2B3C" w:rsidRDefault="004F2B3C" w:rsidP="0036146B">
            <w:pPr>
              <w:jc w:val="both"/>
              <w:rPr>
                <w:lang w:val="fr-BE"/>
              </w:rPr>
            </w:pPr>
            <w:r>
              <w:rPr>
                <w:lang w:val="fr-BE"/>
              </w:rPr>
              <w:t xml:space="preserve">Nous renvoyons le lecteur à la contribution de M. </w:t>
            </w:r>
            <w:proofErr w:type="spellStart"/>
            <w:r>
              <w:rPr>
                <w:lang w:val="fr-BE"/>
              </w:rPr>
              <w:t>Houbben</w:t>
            </w:r>
            <w:proofErr w:type="spellEnd"/>
            <w:r>
              <w:rPr>
                <w:lang w:val="fr-BE"/>
              </w:rPr>
              <w:t>, dans le présent ouvrage, sur les clauses potestatives.</w:t>
            </w:r>
          </w:p>
        </w:tc>
      </w:tr>
      <w:tr w:rsidR="001C7680" w:rsidRPr="00151932" w:rsidTr="00B06977">
        <w:tc>
          <w:tcPr>
            <w:tcW w:w="4248" w:type="dxa"/>
            <w:tcBorders>
              <w:bottom w:val="single" w:sz="4" w:space="0" w:color="auto"/>
            </w:tcBorders>
          </w:tcPr>
          <w:p w:rsidR="001C7680" w:rsidRDefault="00E05D52" w:rsidP="00E7773C">
            <w:pPr>
              <w:jc w:val="both"/>
              <w:rPr>
                <w:lang w:val="fr-BE"/>
              </w:rPr>
            </w:pPr>
            <w:r>
              <w:rPr>
                <w:lang w:val="fr-BE"/>
              </w:rPr>
              <w:lastRenderedPageBreak/>
              <w:t xml:space="preserve">VI.83, 6°, du CDE </w:t>
            </w:r>
            <w:r w:rsidR="001C7680">
              <w:rPr>
                <w:lang w:val="fr-BE"/>
              </w:rPr>
              <w:t>: « </w:t>
            </w:r>
            <w:r w:rsidR="001C7680">
              <w:rPr>
                <w:i/>
                <w:lang w:val="fr-BE"/>
              </w:rPr>
              <w:t>accorder à l’</w:t>
            </w:r>
            <w:r w:rsidR="001C7680" w:rsidRPr="00586F33">
              <w:rPr>
                <w:i/>
                <w:lang w:val="fr-BE"/>
              </w:rPr>
              <w:t>entreprise le droit de déterminer unilatéralement si le produit livré est conforme au contrat, ou lui conférer le d</w:t>
            </w:r>
            <w:r w:rsidR="001C7680">
              <w:rPr>
                <w:i/>
                <w:lang w:val="fr-BE"/>
              </w:rPr>
              <w:t>roit exclusif d’</w:t>
            </w:r>
            <w:r w:rsidR="001C7680" w:rsidRPr="00586F33">
              <w:rPr>
                <w:i/>
                <w:lang w:val="fr-BE"/>
              </w:rPr>
              <w:t>interpréter une quelconque clause du contrat</w:t>
            </w:r>
            <w:r w:rsidR="001C7680">
              <w:rPr>
                <w:lang w:val="fr-BE"/>
              </w:rPr>
              <w:t> »</w:t>
            </w:r>
          </w:p>
          <w:p w:rsidR="001C7680" w:rsidRDefault="001C7680" w:rsidP="00371FD9">
            <w:pPr>
              <w:jc w:val="both"/>
              <w:rPr>
                <w:lang w:val="fr-BE"/>
              </w:rPr>
            </w:pPr>
          </w:p>
          <w:p w:rsidR="001C7680" w:rsidRDefault="001C7680" w:rsidP="00371FD9">
            <w:pPr>
              <w:jc w:val="both"/>
              <w:rPr>
                <w:lang w:val="fr-BE"/>
              </w:rPr>
            </w:pPr>
          </w:p>
          <w:p w:rsidR="001C7680" w:rsidRDefault="001C7680" w:rsidP="00371FD9">
            <w:pPr>
              <w:jc w:val="both"/>
              <w:rPr>
                <w:lang w:val="fr-BE"/>
              </w:rPr>
            </w:pPr>
            <w:r>
              <w:rPr>
                <w:lang w:val="fr-BE"/>
              </w:rPr>
              <w:t xml:space="preserve">Clause figurant dans la </w:t>
            </w:r>
            <w:r w:rsidRPr="00E7773C">
              <w:rPr>
                <w:b/>
                <w:lang w:val="fr-BE"/>
              </w:rPr>
              <w:t>liste noire</w:t>
            </w:r>
            <w:r>
              <w:rPr>
                <w:lang w:val="fr-BE"/>
              </w:rPr>
              <w:t>, abusive en toutes circonstances</w:t>
            </w:r>
          </w:p>
          <w:p w:rsidR="00DD0E2F" w:rsidRDefault="00DD0E2F" w:rsidP="00371FD9">
            <w:pPr>
              <w:jc w:val="both"/>
              <w:rPr>
                <w:lang w:val="fr-BE"/>
              </w:rPr>
            </w:pPr>
          </w:p>
          <w:p w:rsidR="00DD0E2F" w:rsidRPr="00525BB2" w:rsidRDefault="00DD0E2F" w:rsidP="00371FD9">
            <w:pPr>
              <w:jc w:val="both"/>
              <w:rPr>
                <w:i/>
                <w:lang w:val="fr-BE"/>
              </w:rPr>
            </w:pPr>
          </w:p>
        </w:tc>
        <w:tc>
          <w:tcPr>
            <w:tcW w:w="4252" w:type="dxa"/>
            <w:tcBorders>
              <w:bottom w:val="single" w:sz="4" w:space="0" w:color="auto"/>
            </w:tcBorders>
          </w:tcPr>
          <w:p w:rsidR="001C7680" w:rsidRDefault="001C7680" w:rsidP="00E7773C">
            <w:pPr>
              <w:jc w:val="both"/>
              <w:rPr>
                <w:lang w:val="fr-BE"/>
              </w:rPr>
            </w:pPr>
            <w:r>
              <w:rPr>
                <w:lang w:val="fr-BE"/>
              </w:rPr>
              <w:t>Art. VI.91/4, 2°</w:t>
            </w:r>
            <w:r w:rsidR="00E05D52">
              <w:rPr>
                <w:lang w:val="fr-BE"/>
              </w:rPr>
              <w:t xml:space="preserve">, du CDE </w:t>
            </w:r>
            <w:r>
              <w:rPr>
                <w:lang w:val="fr-BE"/>
              </w:rPr>
              <w:t>: « </w:t>
            </w:r>
            <w:r w:rsidRPr="00D200CA">
              <w:rPr>
                <w:i/>
                <w:lang w:val="fr-BE"/>
              </w:rPr>
              <w:t>conférer à l’entreprise le droit unilatéral d’interpréter une quelconque clause du contrat</w:t>
            </w:r>
            <w:r>
              <w:rPr>
                <w:lang w:val="fr-BE"/>
              </w:rPr>
              <w:t> »</w:t>
            </w:r>
          </w:p>
          <w:p w:rsidR="001C7680" w:rsidRDefault="001C7680" w:rsidP="00E7773C">
            <w:pPr>
              <w:jc w:val="both"/>
              <w:rPr>
                <w:lang w:val="fr-BE"/>
              </w:rPr>
            </w:pPr>
          </w:p>
          <w:p w:rsidR="00CD0D74" w:rsidRDefault="00CD0D74" w:rsidP="00CD0D74">
            <w:pPr>
              <w:jc w:val="both"/>
              <w:rPr>
                <w:lang w:val="fr-BE"/>
              </w:rPr>
            </w:pPr>
          </w:p>
          <w:p w:rsidR="00CD0D74" w:rsidRDefault="00CD0D74" w:rsidP="00CD0D74">
            <w:pPr>
              <w:jc w:val="both"/>
              <w:rPr>
                <w:lang w:val="fr-BE"/>
              </w:rPr>
            </w:pPr>
          </w:p>
          <w:p w:rsidR="00BF4912" w:rsidRDefault="00BF4912" w:rsidP="00CD0D74">
            <w:pPr>
              <w:jc w:val="both"/>
              <w:rPr>
                <w:lang w:val="fr-BE"/>
              </w:rPr>
            </w:pPr>
          </w:p>
          <w:p w:rsidR="00CD0D74" w:rsidRDefault="00CD0D74" w:rsidP="00CD0D74">
            <w:pPr>
              <w:jc w:val="both"/>
              <w:rPr>
                <w:lang w:val="fr-BE"/>
              </w:rPr>
            </w:pPr>
            <w:r>
              <w:rPr>
                <w:lang w:val="fr-BE"/>
              </w:rPr>
              <w:t xml:space="preserve">Clause figurant dans la </w:t>
            </w:r>
            <w:r w:rsidRPr="00E7773C">
              <w:rPr>
                <w:b/>
                <w:lang w:val="fr-BE"/>
              </w:rPr>
              <w:t>liste noire</w:t>
            </w:r>
            <w:r>
              <w:rPr>
                <w:lang w:val="fr-BE"/>
              </w:rPr>
              <w:t xml:space="preserve">, abusive en toutes </w:t>
            </w:r>
            <w:r w:rsidR="00122BF5">
              <w:rPr>
                <w:lang w:val="fr-BE"/>
              </w:rPr>
              <w:t>circonstances</w:t>
            </w:r>
          </w:p>
          <w:p w:rsidR="001C7680" w:rsidRDefault="001C7680" w:rsidP="00E7773C">
            <w:pPr>
              <w:jc w:val="both"/>
              <w:rPr>
                <w:lang w:val="fr-BE"/>
              </w:rPr>
            </w:pPr>
          </w:p>
          <w:p w:rsidR="001C7680" w:rsidRPr="00D200CA" w:rsidRDefault="001C7680" w:rsidP="00CD0D74">
            <w:pPr>
              <w:jc w:val="both"/>
              <w:rPr>
                <w:lang w:val="fr-BE"/>
              </w:rPr>
            </w:pPr>
          </w:p>
        </w:tc>
        <w:tc>
          <w:tcPr>
            <w:tcW w:w="4395" w:type="dxa"/>
            <w:tcBorders>
              <w:bottom w:val="single" w:sz="4" w:space="0" w:color="auto"/>
            </w:tcBorders>
          </w:tcPr>
          <w:p w:rsidR="00AC32DB" w:rsidRDefault="00CD0D74" w:rsidP="00E7773C">
            <w:pPr>
              <w:jc w:val="both"/>
              <w:rPr>
                <w:lang w:val="fr-BE"/>
              </w:rPr>
            </w:pPr>
            <w:r w:rsidRPr="00CD0D74">
              <w:rPr>
                <w:b/>
                <w:lang w:val="fr-BE"/>
              </w:rPr>
              <w:t xml:space="preserve">B2C </w:t>
            </w:r>
            <w:r>
              <w:rPr>
                <w:lang w:val="fr-BE"/>
              </w:rPr>
              <w:t>(«</w:t>
            </w:r>
            <w:r w:rsidRPr="00CD0D74">
              <w:rPr>
                <w:i/>
                <w:lang w:val="fr-BE"/>
              </w:rPr>
              <w:t> droit de déterminer unilatéralement si le produit livré est conforme au contrat</w:t>
            </w:r>
            <w:r>
              <w:rPr>
                <w:lang w:val="fr-BE"/>
              </w:rPr>
              <w:t xml:space="preserve"> »). </w:t>
            </w:r>
            <w:r w:rsidR="00AC32DB">
              <w:rPr>
                <w:lang w:val="fr-BE"/>
              </w:rPr>
              <w:t xml:space="preserve">La </w:t>
            </w:r>
            <w:r>
              <w:rPr>
                <w:lang w:val="fr-BE"/>
              </w:rPr>
              <w:t>disposition</w:t>
            </w:r>
            <w:r w:rsidR="00AC32DB">
              <w:rPr>
                <w:lang w:val="fr-BE"/>
              </w:rPr>
              <w:t xml:space="preserve"> précitée</w:t>
            </w:r>
            <w:r>
              <w:rPr>
                <w:lang w:val="fr-BE"/>
              </w:rPr>
              <w:t xml:space="preserve"> participe de la volonté du législateur d’invalider les clauses qui confèrent à l’entreprise un pouvoir à caractère purement potestatif</w:t>
            </w:r>
            <w:r w:rsidR="00E52F60">
              <w:rPr>
                <w:rStyle w:val="Appelnotedebasdep"/>
                <w:lang w:val="fr-BE"/>
              </w:rPr>
              <w:footnoteReference w:id="17"/>
            </w:r>
            <w:r>
              <w:rPr>
                <w:lang w:val="fr-BE"/>
              </w:rPr>
              <w:t xml:space="preserve">. </w:t>
            </w:r>
          </w:p>
          <w:p w:rsidR="0021307E" w:rsidRDefault="0021307E" w:rsidP="00E7773C">
            <w:pPr>
              <w:jc w:val="both"/>
              <w:rPr>
                <w:lang w:val="fr-BE"/>
              </w:rPr>
            </w:pPr>
          </w:p>
          <w:p w:rsidR="008D1790" w:rsidRDefault="00392239" w:rsidP="00E7773C">
            <w:pPr>
              <w:jc w:val="both"/>
              <w:rPr>
                <w:lang w:val="fr-BE"/>
              </w:rPr>
            </w:pPr>
            <w:r>
              <w:rPr>
                <w:lang w:val="fr-BE"/>
              </w:rPr>
              <w:t xml:space="preserve">La notion de « conformité » (cf. les termes « est conforme ») </w:t>
            </w:r>
            <w:r w:rsidR="008D1790">
              <w:rPr>
                <w:lang w:val="fr-BE"/>
              </w:rPr>
              <w:t xml:space="preserve">vise en réalité la </w:t>
            </w:r>
            <w:r>
              <w:rPr>
                <w:lang w:val="fr-BE"/>
              </w:rPr>
              <w:t>question de savoir si l’entreprise a correctement exécuté ses obligations</w:t>
            </w:r>
            <w:r w:rsidR="008D1790">
              <w:rPr>
                <w:rStyle w:val="Appelnotedebasdep"/>
                <w:lang w:val="fr-BE"/>
              </w:rPr>
              <w:footnoteReference w:id="18"/>
            </w:r>
            <w:r>
              <w:rPr>
                <w:lang w:val="fr-BE"/>
              </w:rPr>
              <w:t xml:space="preserve">. </w:t>
            </w:r>
          </w:p>
          <w:p w:rsidR="0021307E" w:rsidRDefault="0021307E" w:rsidP="00E7773C">
            <w:pPr>
              <w:jc w:val="both"/>
              <w:rPr>
                <w:lang w:val="fr-BE"/>
              </w:rPr>
            </w:pPr>
          </w:p>
          <w:p w:rsidR="001C7680" w:rsidRDefault="00CD0D74" w:rsidP="00E7773C">
            <w:pPr>
              <w:jc w:val="both"/>
              <w:rPr>
                <w:lang w:val="fr-BE"/>
              </w:rPr>
            </w:pPr>
            <w:r>
              <w:rPr>
                <w:lang w:val="fr-BE"/>
              </w:rPr>
              <w:lastRenderedPageBreak/>
              <w:t>Dans le cadre d’une vente (immobilière), la non-conformité de la chose peut résulter d’une discordance entre l’identité de la chose convenue et celle qui est livrée, d’un défaut dans la quantité (livraison partielle) ou dans la qualité de la chose. En ce qui concerne l’aspect</w:t>
            </w:r>
            <w:r w:rsidR="00E43F0F">
              <w:rPr>
                <w:lang w:val="fr-BE"/>
              </w:rPr>
              <w:t xml:space="preserve"> « quantité »</w:t>
            </w:r>
            <w:r>
              <w:rPr>
                <w:lang w:val="fr-BE"/>
              </w:rPr>
              <w:t xml:space="preserve">, il convient d’avoir égard aux règles spéciales relatives à la contenance. A cet égard, un juge a considéré comme abusive la clause aux termes de laquelle le vendeur n’est pas responsable en cas de différence entre la superficie réelle et celle qui est mentionnée sur les plans (il s’agissait d’une vente soumise à la loi </w:t>
            </w:r>
            <w:proofErr w:type="spellStart"/>
            <w:r>
              <w:rPr>
                <w:lang w:val="fr-BE"/>
              </w:rPr>
              <w:t>Breyne</w:t>
            </w:r>
            <w:proofErr w:type="spellEnd"/>
            <w:r>
              <w:rPr>
                <w:lang w:val="fr-BE"/>
              </w:rPr>
              <w:t>)</w:t>
            </w:r>
            <w:r>
              <w:rPr>
                <w:rStyle w:val="Appelnotedebasdep"/>
                <w:lang w:val="fr-BE"/>
              </w:rPr>
              <w:footnoteReference w:id="19"/>
            </w:r>
            <w:r>
              <w:rPr>
                <w:lang w:val="fr-BE"/>
              </w:rPr>
              <w:t>.</w:t>
            </w:r>
          </w:p>
          <w:p w:rsidR="00CD0D74" w:rsidRPr="00CD0D74" w:rsidRDefault="00CD0D74" w:rsidP="00E7773C">
            <w:pPr>
              <w:jc w:val="both"/>
              <w:rPr>
                <w:b/>
                <w:lang w:val="fr-BE"/>
              </w:rPr>
            </w:pPr>
          </w:p>
          <w:p w:rsidR="008F4F17" w:rsidRDefault="00CD0D74" w:rsidP="00CD0D74">
            <w:pPr>
              <w:jc w:val="both"/>
              <w:rPr>
                <w:lang w:val="fr-BE"/>
              </w:rPr>
            </w:pPr>
            <w:r w:rsidRPr="00CD0D74">
              <w:rPr>
                <w:b/>
                <w:lang w:val="fr-BE"/>
              </w:rPr>
              <w:t>B2C et B2B</w:t>
            </w:r>
            <w:r>
              <w:rPr>
                <w:lang w:val="fr-BE"/>
              </w:rPr>
              <w:t xml:space="preserve"> (« </w:t>
            </w:r>
            <w:r w:rsidRPr="008F4F17">
              <w:rPr>
                <w:i/>
                <w:lang w:val="fr-BE"/>
              </w:rPr>
              <w:t>droit unilatéral et exclusif d’interpréter une quelconque clause du contrat</w:t>
            </w:r>
            <w:r>
              <w:rPr>
                <w:lang w:val="fr-BE"/>
              </w:rPr>
              <w:t> »). La stipulation qui autoriserait l’entreprise à</w:t>
            </w:r>
            <w:r w:rsidRPr="00412FC7">
              <w:rPr>
                <w:lang w:val="fr-BE"/>
              </w:rPr>
              <w:t xml:space="preserve"> interpréter une quelconque clause du contrat reviendrait à lui permettre d’apprécier</w:t>
            </w:r>
            <w:r>
              <w:rPr>
                <w:lang w:val="fr-BE"/>
              </w:rPr>
              <w:t xml:space="preserve"> </w:t>
            </w:r>
            <w:r w:rsidRPr="00412FC7">
              <w:rPr>
                <w:lang w:val="fr-BE"/>
              </w:rPr>
              <w:t>elle-même si elle s’est acquittée de ses obligations.</w:t>
            </w:r>
            <w:r>
              <w:rPr>
                <w:lang w:val="fr-BE"/>
              </w:rPr>
              <w:t xml:space="preserve"> </w:t>
            </w:r>
          </w:p>
          <w:p w:rsidR="0037613B" w:rsidRDefault="006E6709" w:rsidP="00CD0D74">
            <w:pPr>
              <w:jc w:val="both"/>
              <w:rPr>
                <w:lang w:val="fr-BE"/>
              </w:rPr>
            </w:pPr>
            <w:r>
              <w:rPr>
                <w:lang w:val="fr-BE"/>
              </w:rPr>
              <w:t xml:space="preserve">Les dispositions dont question </w:t>
            </w:r>
            <w:r w:rsidR="008F4F17">
              <w:rPr>
                <w:lang w:val="fr-BE"/>
              </w:rPr>
              <w:t>vise</w:t>
            </w:r>
            <w:r>
              <w:rPr>
                <w:lang w:val="fr-BE"/>
              </w:rPr>
              <w:t>nt</w:t>
            </w:r>
            <w:r w:rsidR="008F4F17">
              <w:rPr>
                <w:lang w:val="fr-BE"/>
              </w:rPr>
              <w:t xml:space="preserve"> ainsi à interdire les clauses qui confèrent à l’entreprise un pouvoir discrétionnaire.</w:t>
            </w:r>
          </w:p>
          <w:p w:rsidR="0037613B" w:rsidRDefault="0037613B" w:rsidP="00CD0D74">
            <w:pPr>
              <w:jc w:val="both"/>
              <w:rPr>
                <w:lang w:val="fr-BE"/>
              </w:rPr>
            </w:pPr>
          </w:p>
          <w:p w:rsidR="00CD0D74" w:rsidRDefault="008F4F17" w:rsidP="00BF4912">
            <w:pPr>
              <w:jc w:val="both"/>
              <w:rPr>
                <w:lang w:val="fr-BE"/>
              </w:rPr>
            </w:pPr>
            <w:r>
              <w:rPr>
                <w:lang w:val="fr-BE"/>
              </w:rPr>
              <w:t>Les travaux préparatoires (de la loi du 4 avr</w:t>
            </w:r>
            <w:r w:rsidR="00AC32DB">
              <w:rPr>
                <w:lang w:val="fr-BE"/>
              </w:rPr>
              <w:t>il 2019 visant les relations B2B</w:t>
            </w:r>
            <w:r>
              <w:rPr>
                <w:lang w:val="fr-BE"/>
              </w:rPr>
              <w:t xml:space="preserve">) </w:t>
            </w:r>
            <w:r>
              <w:rPr>
                <w:lang w:val="fr-BE"/>
              </w:rPr>
              <w:lastRenderedPageBreak/>
              <w:t>mentionnent l’exemple de « </w:t>
            </w:r>
            <w:r w:rsidRPr="005D4E68">
              <w:rPr>
                <w:i/>
                <w:lang w:val="fr-BE"/>
              </w:rPr>
              <w:t>la manipulation par certains moteurs de recherche sans aucune indication de raisons objectives</w:t>
            </w:r>
            <w:r>
              <w:rPr>
                <w:lang w:val="fr-BE"/>
              </w:rPr>
              <w:t> »</w:t>
            </w:r>
            <w:r w:rsidR="00AD7EDF">
              <w:rPr>
                <w:rStyle w:val="Appelnotedebasdep"/>
                <w:lang w:val="fr-BE"/>
              </w:rPr>
              <w:footnoteReference w:id="20"/>
            </w:r>
            <w:r>
              <w:rPr>
                <w:lang w:val="fr-BE"/>
              </w:rPr>
              <w:t>. Ce n’est toutefois que lorsque les dispositions contractuelles ne sont pas claires et risquent donc d’être interprétées de différentes manières que l’on sera face à des clauses abusives</w:t>
            </w:r>
            <w:r w:rsidR="00AC32DB">
              <w:rPr>
                <w:rStyle w:val="Appelnotedebasdep"/>
                <w:lang w:val="fr-BE"/>
              </w:rPr>
              <w:footnoteReference w:id="21"/>
            </w:r>
            <w:r>
              <w:rPr>
                <w:lang w:val="fr-BE"/>
              </w:rPr>
              <w:t xml:space="preserve">.  </w:t>
            </w:r>
            <w:r w:rsidR="00E31D66">
              <w:rPr>
                <w:lang w:val="fr-BE"/>
              </w:rPr>
              <w:t>En effet, admettre qu’une entreprise puisse interpréter unilatéralement une clause manquant de clarté pourrait être perçu comme un incitant à la rédaction de clauses imprécises, ce qui heurterait l’objectif de transparence poursuivi par le législateu</w:t>
            </w:r>
            <w:r w:rsidR="00E31D66" w:rsidRPr="00525BB2">
              <w:rPr>
                <w:lang w:val="fr-BE"/>
              </w:rPr>
              <w:t>r</w:t>
            </w:r>
            <w:r w:rsidR="00306500" w:rsidRPr="00525BB2">
              <w:rPr>
                <w:rStyle w:val="Appelnotedebasdep"/>
                <w:lang w:val="fr-BE"/>
              </w:rPr>
              <w:footnoteReference w:id="22"/>
            </w:r>
            <w:r w:rsidR="00306500" w:rsidRPr="00525BB2">
              <w:rPr>
                <w:lang w:val="fr-BE"/>
              </w:rPr>
              <w:t>.</w:t>
            </w:r>
            <w:r w:rsidR="00306500">
              <w:rPr>
                <w:lang w:val="fr-BE"/>
              </w:rPr>
              <w:t xml:space="preserve"> </w:t>
            </w:r>
          </w:p>
          <w:p w:rsidR="00A4308F" w:rsidRDefault="00A4308F" w:rsidP="00BF4912">
            <w:pPr>
              <w:jc w:val="both"/>
              <w:rPr>
                <w:lang w:val="fr-BE"/>
              </w:rPr>
            </w:pPr>
          </w:p>
          <w:p w:rsidR="00A4308F" w:rsidRDefault="00A4308F" w:rsidP="00BF4912">
            <w:pPr>
              <w:jc w:val="both"/>
              <w:rPr>
                <w:lang w:val="fr-BE"/>
              </w:rPr>
            </w:pPr>
            <w:r>
              <w:rPr>
                <w:lang w:val="fr-BE"/>
              </w:rPr>
              <w:t>Nous renvoyons le lecteur à la contribution de M</w:t>
            </w:r>
            <w:r w:rsidR="00DE049C">
              <w:rPr>
                <w:lang w:val="fr-BE"/>
              </w:rPr>
              <w:t>.</w:t>
            </w:r>
            <w:r>
              <w:rPr>
                <w:lang w:val="fr-BE"/>
              </w:rPr>
              <w:t xml:space="preserve"> </w:t>
            </w:r>
            <w:proofErr w:type="spellStart"/>
            <w:r>
              <w:rPr>
                <w:lang w:val="fr-BE"/>
              </w:rPr>
              <w:t>Houbben</w:t>
            </w:r>
            <w:proofErr w:type="spellEnd"/>
            <w:r>
              <w:rPr>
                <w:lang w:val="fr-BE"/>
              </w:rPr>
              <w:t>, dans le présent ouvrage, sur les clauses potestatives.</w:t>
            </w:r>
          </w:p>
        </w:tc>
      </w:tr>
      <w:tr w:rsidR="001C7680" w:rsidRPr="00151932" w:rsidTr="00B06977">
        <w:tc>
          <w:tcPr>
            <w:tcW w:w="4248" w:type="dxa"/>
            <w:tcBorders>
              <w:top w:val="single" w:sz="4" w:space="0" w:color="auto"/>
            </w:tcBorders>
          </w:tcPr>
          <w:p w:rsidR="008F4F17" w:rsidRDefault="00E05D52" w:rsidP="00E7773C">
            <w:pPr>
              <w:jc w:val="both"/>
              <w:rPr>
                <w:lang w:val="fr-BE"/>
              </w:rPr>
            </w:pPr>
            <w:r>
              <w:rPr>
                <w:lang w:val="fr-BE"/>
              </w:rPr>
              <w:lastRenderedPageBreak/>
              <w:t xml:space="preserve">VI.83, 7°, du CDE </w:t>
            </w:r>
            <w:r w:rsidR="001C7680">
              <w:rPr>
                <w:lang w:val="fr-BE"/>
              </w:rPr>
              <w:t xml:space="preserve">: </w:t>
            </w:r>
            <w:r w:rsidR="001C7680" w:rsidRPr="00005AEE">
              <w:rPr>
                <w:i/>
                <w:lang w:val="fr-BE"/>
              </w:rPr>
              <w:t>« interdire au consommateur de demander la résolut</w:t>
            </w:r>
            <w:r w:rsidR="00806CB9">
              <w:rPr>
                <w:i/>
                <w:lang w:val="fr-BE"/>
              </w:rPr>
              <w:t>ion du contrat dans le cas où l’entreprise n’</w:t>
            </w:r>
            <w:r w:rsidR="001C7680" w:rsidRPr="00005AEE">
              <w:rPr>
                <w:i/>
                <w:lang w:val="fr-BE"/>
              </w:rPr>
              <w:t>exécute pas ses obligations</w:t>
            </w:r>
            <w:r w:rsidR="001C7680">
              <w:rPr>
                <w:lang w:val="fr-BE"/>
              </w:rPr>
              <w:t> »</w:t>
            </w:r>
          </w:p>
          <w:p w:rsidR="00FC2FAE" w:rsidRDefault="00FC2FAE" w:rsidP="00E7773C">
            <w:pPr>
              <w:jc w:val="both"/>
              <w:rPr>
                <w:lang w:val="fr-BE"/>
              </w:rPr>
            </w:pPr>
          </w:p>
          <w:p w:rsidR="008F4F17" w:rsidRDefault="008F4F17" w:rsidP="008F4F17">
            <w:pPr>
              <w:jc w:val="both"/>
              <w:rPr>
                <w:lang w:val="fr-BE"/>
              </w:rPr>
            </w:pPr>
            <w:r>
              <w:rPr>
                <w:lang w:val="fr-BE"/>
              </w:rPr>
              <w:t xml:space="preserve">Clause figurant dans la </w:t>
            </w:r>
            <w:r w:rsidRPr="00E7773C">
              <w:rPr>
                <w:b/>
                <w:lang w:val="fr-BE"/>
              </w:rPr>
              <w:t>liste noire</w:t>
            </w:r>
            <w:r>
              <w:rPr>
                <w:lang w:val="fr-BE"/>
              </w:rPr>
              <w:t>, abusive en toutes circonstances</w:t>
            </w:r>
          </w:p>
          <w:p w:rsidR="003D4FEE" w:rsidRDefault="003D4FEE" w:rsidP="008F4F17">
            <w:pPr>
              <w:jc w:val="both"/>
              <w:rPr>
                <w:lang w:val="fr-BE"/>
              </w:rPr>
            </w:pPr>
          </w:p>
          <w:p w:rsidR="003D4FEE" w:rsidRPr="00525BB2" w:rsidRDefault="003D4FEE" w:rsidP="008F4F17">
            <w:pPr>
              <w:jc w:val="both"/>
              <w:rPr>
                <w:i/>
                <w:lang w:val="fr-BE"/>
              </w:rPr>
            </w:pPr>
          </w:p>
        </w:tc>
        <w:tc>
          <w:tcPr>
            <w:tcW w:w="4252" w:type="dxa"/>
            <w:tcBorders>
              <w:top w:val="single" w:sz="4" w:space="0" w:color="auto"/>
            </w:tcBorders>
          </w:tcPr>
          <w:p w:rsidR="001C7680" w:rsidRDefault="001C7680" w:rsidP="00E7773C">
            <w:pPr>
              <w:jc w:val="both"/>
              <w:rPr>
                <w:lang w:val="fr-BE"/>
              </w:rPr>
            </w:pPr>
          </w:p>
        </w:tc>
        <w:tc>
          <w:tcPr>
            <w:tcW w:w="4395" w:type="dxa"/>
            <w:tcBorders>
              <w:top w:val="single" w:sz="4" w:space="0" w:color="auto"/>
            </w:tcBorders>
          </w:tcPr>
          <w:p w:rsidR="00F06CB6" w:rsidRDefault="008F4F17" w:rsidP="000D3334">
            <w:pPr>
              <w:jc w:val="both"/>
              <w:rPr>
                <w:lang w:val="fr-BE"/>
              </w:rPr>
            </w:pPr>
            <w:r>
              <w:rPr>
                <w:lang w:val="fr-BE"/>
              </w:rPr>
              <w:t xml:space="preserve">Cette disposition ne vise que les clauses qui ont pour objet de priver </w:t>
            </w:r>
            <w:r w:rsidRPr="00013755">
              <w:rPr>
                <w:i/>
                <w:lang w:val="fr-BE"/>
              </w:rPr>
              <w:t>complètement</w:t>
            </w:r>
            <w:r>
              <w:rPr>
                <w:lang w:val="fr-BE"/>
              </w:rPr>
              <w:t xml:space="preserve"> le consommateur du droit de demander la résolution du contrat. N’est, en revanche, pas illicite la clause qui modalise</w:t>
            </w:r>
            <w:r w:rsidR="00100F51">
              <w:rPr>
                <w:lang w:val="fr-BE"/>
              </w:rPr>
              <w:t xml:space="preserve"> (ex. nécessité d’une mise en demeure, </w:t>
            </w:r>
            <w:r w:rsidR="002A1420">
              <w:rPr>
                <w:lang w:val="fr-BE"/>
              </w:rPr>
              <w:t xml:space="preserve">délimitation des </w:t>
            </w:r>
            <w:r w:rsidR="00100F51">
              <w:rPr>
                <w:lang w:val="fr-BE"/>
              </w:rPr>
              <w:t>pouvoirs du juge)</w:t>
            </w:r>
            <w:r>
              <w:rPr>
                <w:lang w:val="fr-BE"/>
              </w:rPr>
              <w:t xml:space="preserve"> ou limite quelque peu ce droit</w:t>
            </w:r>
            <w:r w:rsidR="00100F51">
              <w:rPr>
                <w:lang w:val="fr-BE"/>
              </w:rPr>
              <w:t xml:space="preserve"> (ex. exclusion de la seule faculté de </w:t>
            </w:r>
            <w:r w:rsidR="000D3334">
              <w:rPr>
                <w:lang w:val="fr-BE"/>
              </w:rPr>
              <w:t>postuler</w:t>
            </w:r>
            <w:r w:rsidR="00100F51">
              <w:rPr>
                <w:lang w:val="fr-BE"/>
              </w:rPr>
              <w:t xml:space="preserve"> la résolution </w:t>
            </w:r>
            <w:r w:rsidR="00100F51">
              <w:rPr>
                <w:i/>
                <w:lang w:val="fr-BE"/>
              </w:rPr>
              <w:t>unilatérale</w:t>
            </w:r>
            <w:r w:rsidR="00100F51">
              <w:rPr>
                <w:lang w:val="fr-BE"/>
              </w:rPr>
              <w:t>)</w:t>
            </w:r>
            <w:r w:rsidR="00371B44">
              <w:rPr>
                <w:rStyle w:val="Appelnotedebasdep"/>
                <w:lang w:val="fr-BE"/>
              </w:rPr>
              <w:footnoteReference w:id="23"/>
            </w:r>
            <w:r>
              <w:rPr>
                <w:lang w:val="fr-BE"/>
              </w:rPr>
              <w:t xml:space="preserve">. </w:t>
            </w:r>
          </w:p>
          <w:p w:rsidR="00FB2376" w:rsidRDefault="00FB2376" w:rsidP="000D3334">
            <w:pPr>
              <w:jc w:val="both"/>
              <w:rPr>
                <w:lang w:val="fr-BE"/>
              </w:rPr>
            </w:pPr>
          </w:p>
          <w:p w:rsidR="001C7680" w:rsidRDefault="00FB2376" w:rsidP="000D3334">
            <w:pPr>
              <w:jc w:val="both"/>
              <w:rPr>
                <w:lang w:val="fr-BE"/>
              </w:rPr>
            </w:pPr>
            <w:r>
              <w:rPr>
                <w:lang w:val="fr-BE"/>
              </w:rPr>
              <w:t>L’on relèvera, de manière générale, que le législateur voit d’un mauvais œil les clauses qui tendent à priver le consommateur d’un moyen de recours contre l’entreprise lorsque cette dernière n’a pas correctement exécuté ses obligations. Rapprochez ainsi de l’art. VI.83, 9°, du CDE (interdiction de la clause qui prive le consommateur du droit d’invoquer l’exception d’inexécution) ;</w:t>
            </w:r>
            <w:r w:rsidR="008305F8">
              <w:rPr>
                <w:lang w:val="fr-BE"/>
              </w:rPr>
              <w:t xml:space="preserve"> art. VI.83, 22°, </w:t>
            </w:r>
            <w:r>
              <w:rPr>
                <w:lang w:val="fr-BE"/>
              </w:rPr>
              <w:t xml:space="preserve">du CDE (interdiction des clauses qui font renoncer à tout moyen de recours contre l’entreprise) ; art. VI.83, 30°, du CDE (clause « fourre-tout »). </w:t>
            </w:r>
            <w:proofErr w:type="spellStart"/>
            <w:r>
              <w:rPr>
                <w:lang w:val="fr-BE"/>
              </w:rPr>
              <w:t>Voy</w:t>
            </w:r>
            <w:proofErr w:type="spellEnd"/>
            <w:r>
              <w:rPr>
                <w:lang w:val="fr-BE"/>
              </w:rPr>
              <w:t xml:space="preserve">. </w:t>
            </w:r>
            <w:proofErr w:type="spellStart"/>
            <w:r>
              <w:rPr>
                <w:lang w:val="fr-BE"/>
              </w:rPr>
              <w:t>ég</w:t>
            </w:r>
            <w:proofErr w:type="spellEnd"/>
            <w:r>
              <w:rPr>
                <w:lang w:val="fr-BE"/>
              </w:rPr>
              <w:t xml:space="preserve">. art. VI.83, 8°, du CDE mais qui est doté d’un champ d’application limité. </w:t>
            </w:r>
          </w:p>
          <w:p w:rsidR="00A4308F" w:rsidRDefault="00A4308F" w:rsidP="000D3334">
            <w:pPr>
              <w:jc w:val="both"/>
              <w:rPr>
                <w:lang w:val="fr-BE"/>
              </w:rPr>
            </w:pPr>
          </w:p>
          <w:p w:rsidR="00A4308F" w:rsidRDefault="00A4308F" w:rsidP="000D3334">
            <w:pPr>
              <w:jc w:val="both"/>
              <w:rPr>
                <w:lang w:val="fr-BE"/>
              </w:rPr>
            </w:pPr>
            <w:r>
              <w:rPr>
                <w:lang w:val="fr-BE"/>
              </w:rPr>
              <w:t>Nous renvoyons le lecteur à la contribution de C</w:t>
            </w:r>
            <w:r w:rsidR="00DE049C">
              <w:rPr>
                <w:lang w:val="fr-BE"/>
              </w:rPr>
              <w:t>.</w:t>
            </w:r>
            <w:r>
              <w:rPr>
                <w:lang w:val="fr-BE"/>
              </w:rPr>
              <w:t>-E</w:t>
            </w:r>
            <w:r w:rsidR="00DE049C">
              <w:rPr>
                <w:lang w:val="fr-BE"/>
              </w:rPr>
              <w:t>.</w:t>
            </w:r>
            <w:r>
              <w:rPr>
                <w:lang w:val="fr-BE"/>
              </w:rPr>
              <w:t xml:space="preserve"> Lambert et de R</w:t>
            </w:r>
            <w:r w:rsidR="00DE049C">
              <w:rPr>
                <w:lang w:val="fr-BE"/>
              </w:rPr>
              <w:t>.</w:t>
            </w:r>
            <w:r>
              <w:rPr>
                <w:lang w:val="fr-BE"/>
              </w:rPr>
              <w:t xml:space="preserve"> </w:t>
            </w:r>
            <w:proofErr w:type="spellStart"/>
            <w:r>
              <w:rPr>
                <w:lang w:val="fr-BE"/>
              </w:rPr>
              <w:t>Thüngen</w:t>
            </w:r>
            <w:proofErr w:type="spellEnd"/>
            <w:r>
              <w:rPr>
                <w:lang w:val="fr-BE"/>
              </w:rPr>
              <w:t xml:space="preserve">, dans le </w:t>
            </w:r>
            <w:r>
              <w:rPr>
                <w:lang w:val="fr-BE"/>
              </w:rPr>
              <w:lastRenderedPageBreak/>
              <w:t xml:space="preserve">présent ouvrage, sur les clauses d’inexécution. </w:t>
            </w:r>
          </w:p>
        </w:tc>
      </w:tr>
      <w:tr w:rsidR="001C7680" w:rsidRPr="00151932" w:rsidTr="00B06977">
        <w:tc>
          <w:tcPr>
            <w:tcW w:w="4248" w:type="dxa"/>
          </w:tcPr>
          <w:p w:rsidR="001C7680" w:rsidRDefault="001C7680" w:rsidP="00E7773C">
            <w:pPr>
              <w:jc w:val="both"/>
              <w:rPr>
                <w:lang w:val="fr-BE"/>
              </w:rPr>
            </w:pPr>
            <w:r>
              <w:rPr>
                <w:lang w:val="fr-BE"/>
              </w:rPr>
              <w:lastRenderedPageBreak/>
              <w:t>VI.83, 8°</w:t>
            </w:r>
            <w:r w:rsidR="00E05D52">
              <w:rPr>
                <w:lang w:val="fr-BE"/>
              </w:rPr>
              <w:t xml:space="preserve">, du CDE </w:t>
            </w:r>
            <w:r w:rsidR="00DC4F92">
              <w:rPr>
                <w:lang w:val="fr-BE"/>
              </w:rPr>
              <w:t>: « </w:t>
            </w:r>
            <w:r w:rsidR="00DC4F92" w:rsidRPr="00DC4F92">
              <w:rPr>
                <w:i/>
                <w:lang w:val="fr-BE"/>
              </w:rPr>
              <w:t>restreindre le droit du consommateur de résilier le contrat lorsque, dans le cadre de son obligati</w:t>
            </w:r>
            <w:r w:rsidR="00DC4F92">
              <w:rPr>
                <w:i/>
                <w:lang w:val="fr-BE"/>
              </w:rPr>
              <w:t>on de garantie contractuelle, l’</w:t>
            </w:r>
            <w:r w:rsidR="00DC4F92" w:rsidRPr="00DC4F92">
              <w:rPr>
                <w:i/>
                <w:lang w:val="fr-BE"/>
              </w:rPr>
              <w:t>entreprise ne respecte pas ou ne respecte pas dans un délai raisonnable son obligation de réparer ou de remplacer le bien</w:t>
            </w:r>
            <w:r w:rsidR="00DC4F92">
              <w:rPr>
                <w:lang w:val="fr-BE"/>
              </w:rPr>
              <w:t> »</w:t>
            </w:r>
          </w:p>
          <w:p w:rsidR="00DC4F92" w:rsidRDefault="00DC4F92" w:rsidP="00E7773C">
            <w:pPr>
              <w:jc w:val="both"/>
              <w:rPr>
                <w:lang w:val="fr-BE"/>
              </w:rPr>
            </w:pPr>
          </w:p>
          <w:p w:rsidR="00DC4F92" w:rsidRDefault="00DC4F92" w:rsidP="00E7773C">
            <w:pPr>
              <w:jc w:val="both"/>
              <w:rPr>
                <w:lang w:val="fr-BE"/>
              </w:rPr>
            </w:pPr>
            <w:r>
              <w:rPr>
                <w:lang w:val="fr-BE"/>
              </w:rPr>
              <w:t xml:space="preserve">Clause figurant dans la </w:t>
            </w:r>
            <w:r w:rsidRPr="00E7773C">
              <w:rPr>
                <w:b/>
                <w:lang w:val="fr-BE"/>
              </w:rPr>
              <w:t>liste noire</w:t>
            </w:r>
            <w:r>
              <w:rPr>
                <w:lang w:val="fr-BE"/>
              </w:rPr>
              <w:t>, abusive en toutes circonstances</w:t>
            </w:r>
          </w:p>
          <w:p w:rsidR="000F2F80" w:rsidRDefault="000F2F80" w:rsidP="00E7773C">
            <w:pPr>
              <w:jc w:val="both"/>
              <w:rPr>
                <w:lang w:val="fr-BE"/>
              </w:rPr>
            </w:pPr>
          </w:p>
          <w:p w:rsidR="000F2F80" w:rsidRPr="00525BB2" w:rsidRDefault="000F2F80" w:rsidP="00E7773C">
            <w:pPr>
              <w:jc w:val="both"/>
              <w:rPr>
                <w:i/>
                <w:lang w:val="fr-BE"/>
              </w:rPr>
            </w:pPr>
            <w:r>
              <w:rPr>
                <w:i/>
                <w:lang w:val="fr-BE"/>
              </w:rPr>
              <w:t>Pas applicable en matière immobilière</w:t>
            </w:r>
          </w:p>
        </w:tc>
        <w:tc>
          <w:tcPr>
            <w:tcW w:w="4252" w:type="dxa"/>
          </w:tcPr>
          <w:p w:rsidR="001C7680" w:rsidRDefault="001C7680" w:rsidP="00E7773C">
            <w:pPr>
              <w:jc w:val="both"/>
              <w:rPr>
                <w:lang w:val="fr-BE"/>
              </w:rPr>
            </w:pPr>
          </w:p>
        </w:tc>
        <w:tc>
          <w:tcPr>
            <w:tcW w:w="4395" w:type="dxa"/>
          </w:tcPr>
          <w:p w:rsidR="00272976" w:rsidRDefault="00272976" w:rsidP="00E7773C">
            <w:pPr>
              <w:jc w:val="both"/>
              <w:rPr>
                <w:lang w:val="fr-BE"/>
              </w:rPr>
            </w:pPr>
            <w:r>
              <w:rPr>
                <w:lang w:val="fr-BE"/>
              </w:rPr>
              <w:t>Il semble que le</w:t>
            </w:r>
            <w:r w:rsidR="00DC4F92">
              <w:rPr>
                <w:lang w:val="fr-BE"/>
              </w:rPr>
              <w:t xml:space="preserve"> terme « résilier » doi</w:t>
            </w:r>
            <w:r>
              <w:rPr>
                <w:lang w:val="fr-BE"/>
              </w:rPr>
              <w:t>ve</w:t>
            </w:r>
            <w:r w:rsidR="00DC4F92">
              <w:rPr>
                <w:lang w:val="fr-BE"/>
              </w:rPr>
              <w:t xml:space="preserve"> plutôt s’entendre au sens d’une « résolution pour inexécution fautive »</w:t>
            </w:r>
            <w:r w:rsidR="00506143">
              <w:rPr>
                <w:rStyle w:val="Appelnotedebasdep"/>
                <w:lang w:val="fr-BE"/>
              </w:rPr>
              <w:footnoteReference w:id="24"/>
            </w:r>
            <w:r w:rsidR="00DC4F92">
              <w:rPr>
                <w:lang w:val="fr-BE"/>
              </w:rPr>
              <w:t>.</w:t>
            </w:r>
          </w:p>
          <w:p w:rsidR="00272976" w:rsidRDefault="00272976" w:rsidP="00E7773C">
            <w:pPr>
              <w:jc w:val="both"/>
              <w:rPr>
                <w:lang w:val="fr-BE"/>
              </w:rPr>
            </w:pPr>
          </w:p>
          <w:p w:rsidR="00272976" w:rsidRDefault="00272976" w:rsidP="00272976">
            <w:pPr>
              <w:jc w:val="both"/>
              <w:rPr>
                <w:lang w:val="fr-BE"/>
              </w:rPr>
            </w:pPr>
            <w:r>
              <w:rPr>
                <w:lang w:val="fr-BE"/>
              </w:rPr>
              <w:t>Cette disposition est plus sévère que l’article VI.83, 7°, du CDE en ce sens qu’elle condamne également les clauses qui visent à restreindre</w:t>
            </w:r>
            <w:r w:rsidR="00A071D7">
              <w:rPr>
                <w:lang w:val="fr-BE"/>
              </w:rPr>
              <w:t xml:space="preserve"> (et pas uniquement supprimer)</w:t>
            </w:r>
            <w:r>
              <w:rPr>
                <w:lang w:val="fr-BE"/>
              </w:rPr>
              <w:t xml:space="preserve"> la faculté de demander la résolution du contrat. </w:t>
            </w:r>
            <w:r w:rsidR="00DC4F92">
              <w:rPr>
                <w:lang w:val="fr-BE"/>
              </w:rPr>
              <w:t xml:space="preserve"> </w:t>
            </w:r>
          </w:p>
          <w:p w:rsidR="00BF4912" w:rsidRDefault="00BF4912" w:rsidP="00272976">
            <w:pPr>
              <w:jc w:val="both"/>
              <w:rPr>
                <w:lang w:val="fr-BE"/>
              </w:rPr>
            </w:pPr>
          </w:p>
          <w:p w:rsidR="00272976" w:rsidRDefault="00272976" w:rsidP="00BF4912">
            <w:pPr>
              <w:jc w:val="both"/>
              <w:rPr>
                <w:lang w:val="fr-BE"/>
              </w:rPr>
            </w:pPr>
            <w:r>
              <w:rPr>
                <w:lang w:val="fr-BE"/>
              </w:rPr>
              <w:t>Le te</w:t>
            </w:r>
            <w:r w:rsidR="00A071D7">
              <w:rPr>
                <w:lang w:val="fr-BE"/>
              </w:rPr>
              <w:t>x</w:t>
            </w:r>
            <w:r>
              <w:rPr>
                <w:lang w:val="fr-BE"/>
              </w:rPr>
              <w:t xml:space="preserve">te </w:t>
            </w:r>
            <w:r w:rsidR="00A071D7">
              <w:rPr>
                <w:lang w:val="fr-BE"/>
              </w:rPr>
              <w:t xml:space="preserve">est doté d’un champ d’application spécifique : </w:t>
            </w:r>
            <w:r w:rsidR="00B21E2E">
              <w:rPr>
                <w:lang w:val="fr-BE"/>
              </w:rPr>
              <w:t>il suppose que l’obligation de réparation ou remplacement découle de la « garantie contractuelle » (ou garantie commerciale) du vendeur (à distinguer de la garantie légale). Il ne vise, du reste,</w:t>
            </w:r>
            <w:r>
              <w:rPr>
                <w:lang w:val="fr-BE"/>
              </w:rPr>
              <w:t xml:space="preserve"> que les « biens »</w:t>
            </w:r>
            <w:r w:rsidR="00B21E2E">
              <w:rPr>
                <w:lang w:val="fr-BE"/>
              </w:rPr>
              <w:t xml:space="preserve"> (à savoir les biens meubles corporels</w:t>
            </w:r>
            <w:r w:rsidR="004E2AF3">
              <w:rPr>
                <w:rStyle w:val="Appelnotedebasdep"/>
                <w:lang w:val="fr-BE"/>
              </w:rPr>
              <w:footnoteReference w:id="25"/>
            </w:r>
            <w:r w:rsidR="00B21E2E">
              <w:rPr>
                <w:lang w:val="fr-BE"/>
              </w:rPr>
              <w:t>)</w:t>
            </w:r>
            <w:r>
              <w:rPr>
                <w:lang w:val="fr-BE"/>
              </w:rPr>
              <w:t xml:space="preserve"> ; l’interdiction </w:t>
            </w:r>
            <w:r w:rsidR="00A071D7">
              <w:rPr>
                <w:lang w:val="fr-BE"/>
              </w:rPr>
              <w:t xml:space="preserve">dont question </w:t>
            </w:r>
            <w:r>
              <w:rPr>
                <w:lang w:val="fr-BE"/>
              </w:rPr>
              <w:t xml:space="preserve">ne vaut donc </w:t>
            </w:r>
            <w:r w:rsidRPr="00525BB2">
              <w:rPr>
                <w:u w:val="single"/>
                <w:lang w:val="fr-BE"/>
              </w:rPr>
              <w:t>pas pour les biens</w:t>
            </w:r>
            <w:r w:rsidR="00A071D7" w:rsidRPr="00525BB2">
              <w:rPr>
                <w:u w:val="single"/>
                <w:lang w:val="fr-BE"/>
              </w:rPr>
              <w:t xml:space="preserve"> immobiliers</w:t>
            </w:r>
            <w:r>
              <w:rPr>
                <w:lang w:val="fr-BE"/>
              </w:rPr>
              <w:t xml:space="preserve">, les services, les droits et obligations. </w:t>
            </w:r>
          </w:p>
          <w:p w:rsidR="00A3740E" w:rsidRDefault="00A3740E" w:rsidP="00BF4912">
            <w:pPr>
              <w:jc w:val="both"/>
              <w:rPr>
                <w:lang w:val="fr-BE"/>
              </w:rPr>
            </w:pPr>
          </w:p>
          <w:p w:rsidR="00A3740E" w:rsidRDefault="00A3740E" w:rsidP="00BF4912">
            <w:pPr>
              <w:jc w:val="both"/>
              <w:rPr>
                <w:lang w:val="fr-BE"/>
              </w:rPr>
            </w:pPr>
            <w:r>
              <w:rPr>
                <w:lang w:val="fr-BE"/>
              </w:rPr>
              <w:t xml:space="preserve">Nous renvoyons le lecteur à la contribution de C.-E. Lambert et de R. </w:t>
            </w:r>
            <w:proofErr w:type="spellStart"/>
            <w:r>
              <w:rPr>
                <w:lang w:val="fr-BE"/>
              </w:rPr>
              <w:t>Thüngen</w:t>
            </w:r>
            <w:proofErr w:type="spellEnd"/>
            <w:r>
              <w:rPr>
                <w:lang w:val="fr-BE"/>
              </w:rPr>
              <w:t>, dans le présent ouvrage, sur les clauses d’inexécution.</w:t>
            </w:r>
          </w:p>
        </w:tc>
      </w:tr>
      <w:tr w:rsidR="0097483B" w:rsidRPr="00151932" w:rsidTr="00B06977">
        <w:tc>
          <w:tcPr>
            <w:tcW w:w="4248" w:type="dxa"/>
          </w:tcPr>
          <w:p w:rsidR="0097483B" w:rsidRDefault="00E05D52" w:rsidP="0097483B">
            <w:pPr>
              <w:jc w:val="both"/>
              <w:rPr>
                <w:lang w:val="fr-BE"/>
              </w:rPr>
            </w:pPr>
            <w:r>
              <w:rPr>
                <w:lang w:val="fr-BE"/>
              </w:rPr>
              <w:lastRenderedPageBreak/>
              <w:t xml:space="preserve">VI.83, 9°, du CDE : </w:t>
            </w:r>
            <w:r w:rsidR="0097483B">
              <w:rPr>
                <w:lang w:val="fr-BE"/>
              </w:rPr>
              <w:t>« </w:t>
            </w:r>
            <w:r w:rsidR="0097483B" w:rsidRPr="0097483B">
              <w:rPr>
                <w:i/>
                <w:lang w:val="fr-BE"/>
              </w:rPr>
              <w:t>obliger le consommateur à exécuter ses obligations, alors que l’entreprise n’aurait pas exécuté les siennes ou serait en défaut d’exécuter les siennes</w:t>
            </w:r>
            <w:r w:rsidR="0097483B">
              <w:rPr>
                <w:lang w:val="fr-BE"/>
              </w:rPr>
              <w:t> »</w:t>
            </w:r>
          </w:p>
          <w:p w:rsidR="0097483B" w:rsidRDefault="0097483B" w:rsidP="0097483B">
            <w:pPr>
              <w:jc w:val="both"/>
              <w:rPr>
                <w:lang w:val="fr-BE"/>
              </w:rPr>
            </w:pPr>
          </w:p>
          <w:p w:rsidR="0097483B" w:rsidRDefault="0097483B" w:rsidP="0097483B">
            <w:pPr>
              <w:jc w:val="both"/>
              <w:rPr>
                <w:lang w:val="fr-BE"/>
              </w:rPr>
            </w:pPr>
          </w:p>
          <w:p w:rsidR="0097483B" w:rsidRDefault="0097483B" w:rsidP="0097483B">
            <w:pPr>
              <w:jc w:val="both"/>
              <w:rPr>
                <w:lang w:val="fr-BE"/>
              </w:rPr>
            </w:pPr>
            <w:r>
              <w:rPr>
                <w:lang w:val="fr-BE"/>
              </w:rPr>
              <w:t xml:space="preserve">Clause figurant dans la </w:t>
            </w:r>
            <w:r w:rsidRPr="00E7773C">
              <w:rPr>
                <w:b/>
                <w:lang w:val="fr-BE"/>
              </w:rPr>
              <w:t>liste noire</w:t>
            </w:r>
            <w:r>
              <w:rPr>
                <w:lang w:val="fr-BE"/>
              </w:rPr>
              <w:t>, abusive en toutes circonstances</w:t>
            </w:r>
          </w:p>
          <w:p w:rsidR="0097483B" w:rsidRDefault="0097483B" w:rsidP="0097483B">
            <w:pPr>
              <w:jc w:val="both"/>
              <w:rPr>
                <w:lang w:val="fr-BE"/>
              </w:rPr>
            </w:pPr>
          </w:p>
          <w:p w:rsidR="00290D4E" w:rsidRPr="00525BB2" w:rsidRDefault="00290D4E" w:rsidP="0097483B">
            <w:pPr>
              <w:jc w:val="both"/>
              <w:rPr>
                <w:i/>
                <w:lang w:val="fr-BE"/>
              </w:rPr>
            </w:pPr>
          </w:p>
        </w:tc>
        <w:tc>
          <w:tcPr>
            <w:tcW w:w="4252" w:type="dxa"/>
          </w:tcPr>
          <w:p w:rsidR="0097483B" w:rsidRDefault="0097483B" w:rsidP="00E7773C">
            <w:pPr>
              <w:jc w:val="both"/>
              <w:rPr>
                <w:lang w:val="fr-BE"/>
              </w:rPr>
            </w:pPr>
          </w:p>
        </w:tc>
        <w:tc>
          <w:tcPr>
            <w:tcW w:w="4395" w:type="dxa"/>
          </w:tcPr>
          <w:p w:rsidR="0097483B" w:rsidRDefault="0097483B" w:rsidP="0097483B">
            <w:pPr>
              <w:jc w:val="both"/>
              <w:rPr>
                <w:lang w:val="fr-BE"/>
              </w:rPr>
            </w:pPr>
            <w:r>
              <w:rPr>
                <w:lang w:val="fr-BE"/>
              </w:rPr>
              <w:t>Cette disposition condamne les clauses qui suppriment le droit pour le consommateur d’invoquer l’exception d’inexécution à l’égard de l’entreprise. En revanche, les clauses qui ne font que limiter ou modaliser ce droit sont licites, sauf à constituer une limitation inappropriée des droits légaux du consommateur (cf. art. VI.83, 30°, du CDE), et sous réserve de l’application de la norme générale</w:t>
            </w:r>
            <w:r>
              <w:rPr>
                <w:rStyle w:val="Appelnotedebasdep"/>
                <w:lang w:val="fr-BE"/>
              </w:rPr>
              <w:footnoteReference w:id="26"/>
            </w:r>
            <w:r>
              <w:rPr>
                <w:lang w:val="fr-BE"/>
              </w:rPr>
              <w:t xml:space="preserve">. </w:t>
            </w:r>
          </w:p>
          <w:p w:rsidR="00A3740E" w:rsidRDefault="00A3740E" w:rsidP="0097483B">
            <w:pPr>
              <w:jc w:val="both"/>
              <w:rPr>
                <w:lang w:val="fr-BE"/>
              </w:rPr>
            </w:pPr>
          </w:p>
          <w:p w:rsidR="00A3740E" w:rsidRDefault="00A3740E" w:rsidP="0097483B">
            <w:pPr>
              <w:jc w:val="both"/>
              <w:rPr>
                <w:lang w:val="fr-BE"/>
              </w:rPr>
            </w:pPr>
            <w:r>
              <w:rPr>
                <w:lang w:val="fr-BE"/>
              </w:rPr>
              <w:t xml:space="preserve">Nous renvoyons le lecteur à la contribution de C.-E. Lambert et de R. </w:t>
            </w:r>
            <w:proofErr w:type="spellStart"/>
            <w:r>
              <w:rPr>
                <w:lang w:val="fr-BE"/>
              </w:rPr>
              <w:t>Thüngen</w:t>
            </w:r>
            <w:proofErr w:type="spellEnd"/>
            <w:r>
              <w:rPr>
                <w:lang w:val="fr-BE"/>
              </w:rPr>
              <w:t>, dans le présent ouvrage, sur les clauses d’inexécution.</w:t>
            </w:r>
          </w:p>
        </w:tc>
      </w:tr>
      <w:tr w:rsidR="001C7680" w:rsidRPr="00151932" w:rsidTr="00B06977">
        <w:tc>
          <w:tcPr>
            <w:tcW w:w="4248" w:type="dxa"/>
          </w:tcPr>
          <w:p w:rsidR="001C7680" w:rsidRDefault="001C7680" w:rsidP="00506143">
            <w:pPr>
              <w:jc w:val="both"/>
              <w:rPr>
                <w:lang w:val="fr-BE"/>
              </w:rPr>
            </w:pPr>
            <w:r>
              <w:rPr>
                <w:lang w:val="fr-BE"/>
              </w:rPr>
              <w:t>VI.83, 10°</w:t>
            </w:r>
            <w:r w:rsidR="00E05D52">
              <w:rPr>
                <w:lang w:val="fr-BE"/>
              </w:rPr>
              <w:t xml:space="preserve">, du CDE </w:t>
            </w:r>
            <w:r w:rsidR="00506143">
              <w:rPr>
                <w:lang w:val="fr-BE"/>
              </w:rPr>
              <w:t xml:space="preserve">: « </w:t>
            </w:r>
            <w:r w:rsidR="00506143" w:rsidRPr="00506143">
              <w:rPr>
                <w:i/>
                <w:lang w:val="fr-BE"/>
              </w:rPr>
              <w:t>sans préjudice de l’article 1184 du Code civil, autoriser l’entreprise à mettre fin unilatéralement au contrat à durée déterminée, sans dédommagement pour le consommateur, hormis le cas de force majeure</w:t>
            </w:r>
            <w:r w:rsidR="00506143">
              <w:rPr>
                <w:lang w:val="fr-BE"/>
              </w:rPr>
              <w:t> » </w:t>
            </w:r>
          </w:p>
          <w:p w:rsidR="00CA3BD9" w:rsidRDefault="00CA3BD9" w:rsidP="00506143">
            <w:pPr>
              <w:jc w:val="both"/>
              <w:rPr>
                <w:lang w:val="fr-BE"/>
              </w:rPr>
            </w:pPr>
          </w:p>
          <w:p w:rsidR="00CA3BD9" w:rsidRDefault="00CA3BD9" w:rsidP="00506143">
            <w:pPr>
              <w:jc w:val="both"/>
              <w:rPr>
                <w:lang w:val="fr-BE"/>
              </w:rPr>
            </w:pPr>
          </w:p>
          <w:p w:rsidR="00CA3BD9" w:rsidRDefault="00CA3BD9" w:rsidP="00506143">
            <w:pPr>
              <w:jc w:val="both"/>
              <w:rPr>
                <w:lang w:val="fr-BE"/>
              </w:rPr>
            </w:pPr>
            <w:r>
              <w:rPr>
                <w:lang w:val="fr-BE"/>
              </w:rPr>
              <w:t xml:space="preserve">Clause figurant dans la </w:t>
            </w:r>
            <w:r w:rsidRPr="00E7773C">
              <w:rPr>
                <w:b/>
                <w:lang w:val="fr-BE"/>
              </w:rPr>
              <w:t>liste noire</w:t>
            </w:r>
            <w:r>
              <w:rPr>
                <w:lang w:val="fr-BE"/>
              </w:rPr>
              <w:t>, abusive en toutes circonstances</w:t>
            </w:r>
          </w:p>
          <w:p w:rsidR="00CA3BD9" w:rsidRDefault="00CA3BD9" w:rsidP="00506143">
            <w:pPr>
              <w:jc w:val="both"/>
              <w:rPr>
                <w:lang w:val="fr-BE"/>
              </w:rPr>
            </w:pPr>
          </w:p>
          <w:p w:rsidR="00CA3BD9" w:rsidRDefault="00CA3BD9" w:rsidP="00506143">
            <w:pPr>
              <w:jc w:val="both"/>
              <w:rPr>
                <w:lang w:val="fr-BE"/>
              </w:rPr>
            </w:pPr>
          </w:p>
          <w:p w:rsidR="00CA3BD9" w:rsidRDefault="00CA3BD9" w:rsidP="000F2F80">
            <w:pPr>
              <w:jc w:val="both"/>
              <w:rPr>
                <w:lang w:val="fr-BE"/>
              </w:rPr>
            </w:pPr>
          </w:p>
        </w:tc>
        <w:tc>
          <w:tcPr>
            <w:tcW w:w="4252" w:type="dxa"/>
          </w:tcPr>
          <w:p w:rsidR="001C7680" w:rsidRDefault="001C7680" w:rsidP="00E7773C">
            <w:pPr>
              <w:jc w:val="both"/>
              <w:rPr>
                <w:lang w:val="fr-BE"/>
              </w:rPr>
            </w:pPr>
          </w:p>
        </w:tc>
        <w:tc>
          <w:tcPr>
            <w:tcW w:w="4395" w:type="dxa"/>
          </w:tcPr>
          <w:p w:rsidR="001C7680" w:rsidRDefault="00EF74A9" w:rsidP="00927721">
            <w:pPr>
              <w:jc w:val="both"/>
              <w:rPr>
                <w:lang w:val="fr-BE"/>
              </w:rPr>
            </w:pPr>
            <w:r>
              <w:rPr>
                <w:lang w:val="fr-BE"/>
              </w:rPr>
              <w:t xml:space="preserve">Cette disposition </w:t>
            </w:r>
            <w:r w:rsidR="00927721">
              <w:rPr>
                <w:lang w:val="fr-BE"/>
              </w:rPr>
              <w:t>vise à interdire les clauses qui permettent à l’entreprise de</w:t>
            </w:r>
            <w:r w:rsidR="00F82605">
              <w:rPr>
                <w:lang w:val="fr-BE"/>
              </w:rPr>
              <w:t xml:space="preserve"> résilier unilatéralement un contrat à </w:t>
            </w:r>
            <w:r w:rsidR="00F82605" w:rsidRPr="00C53CC9">
              <w:rPr>
                <w:i/>
                <w:lang w:val="fr-BE"/>
              </w:rPr>
              <w:t>durée déterminée</w:t>
            </w:r>
            <w:r w:rsidR="00F82605">
              <w:rPr>
                <w:lang w:val="fr-BE"/>
              </w:rPr>
              <w:t xml:space="preserve">, en dehors de tout manquement imputable au consommateur, </w:t>
            </w:r>
            <w:r w:rsidR="00927721">
              <w:rPr>
                <w:lang w:val="fr-BE"/>
              </w:rPr>
              <w:t xml:space="preserve">sans dédommagement pour ce dernier. </w:t>
            </w:r>
            <w:r w:rsidR="00F82605">
              <w:rPr>
                <w:lang w:val="fr-BE"/>
              </w:rPr>
              <w:t>En d’autres termes, la faculté de résiliation unilatérale d’un contrat à durée déterminée ne peut être exercée que moyennant le paiement d’une indemnité</w:t>
            </w:r>
            <w:r w:rsidR="001B17D3">
              <w:rPr>
                <w:lang w:val="fr-BE"/>
              </w:rPr>
              <w:t xml:space="preserve"> (de dédit), </w:t>
            </w:r>
            <w:r w:rsidR="002179B1">
              <w:rPr>
                <w:lang w:val="fr-BE"/>
              </w:rPr>
              <w:t>sous réserve de la force majeure</w:t>
            </w:r>
            <w:r w:rsidR="00F82605">
              <w:rPr>
                <w:lang w:val="fr-BE"/>
              </w:rPr>
              <w:t xml:space="preserve">. </w:t>
            </w:r>
          </w:p>
          <w:p w:rsidR="00927721" w:rsidRDefault="00927721" w:rsidP="00927721">
            <w:pPr>
              <w:jc w:val="both"/>
              <w:rPr>
                <w:lang w:val="fr-BE"/>
              </w:rPr>
            </w:pPr>
          </w:p>
          <w:p w:rsidR="00A3740E" w:rsidRDefault="00927721" w:rsidP="00927721">
            <w:pPr>
              <w:jc w:val="both"/>
              <w:rPr>
                <w:lang w:val="fr-BE"/>
              </w:rPr>
            </w:pPr>
            <w:r>
              <w:rPr>
                <w:lang w:val="fr-BE"/>
              </w:rPr>
              <w:t xml:space="preserve">Le texte </w:t>
            </w:r>
            <w:r w:rsidR="002179B1">
              <w:rPr>
                <w:lang w:val="fr-BE"/>
              </w:rPr>
              <w:t xml:space="preserve">n’a pas vocation à s’appliquer aux </w:t>
            </w:r>
            <w:r>
              <w:rPr>
                <w:lang w:val="fr-BE"/>
              </w:rPr>
              <w:t>clauses résolutoires expresses</w:t>
            </w:r>
            <w:r w:rsidR="002179B1">
              <w:rPr>
                <w:lang w:val="fr-BE"/>
              </w:rPr>
              <w:t>, lesquelles</w:t>
            </w:r>
            <w:r>
              <w:rPr>
                <w:lang w:val="fr-BE"/>
              </w:rPr>
              <w:t xml:space="preserve"> </w:t>
            </w:r>
            <w:r>
              <w:rPr>
                <w:lang w:val="fr-BE"/>
              </w:rPr>
              <w:lastRenderedPageBreak/>
              <w:t>supposent l’existence d’une faute dans le chef du consommateur (cf. les termes « sans préjudice de l’article 1184 du Code civil »)</w:t>
            </w:r>
            <w:r w:rsidR="00080B39">
              <w:rPr>
                <w:rStyle w:val="Appelnotedebasdep"/>
                <w:lang w:val="fr-BE"/>
              </w:rPr>
              <w:footnoteReference w:id="27"/>
            </w:r>
            <w:r>
              <w:rPr>
                <w:lang w:val="fr-BE"/>
              </w:rPr>
              <w:t>.</w:t>
            </w:r>
          </w:p>
          <w:p w:rsidR="00927721" w:rsidRDefault="00927721" w:rsidP="00927721">
            <w:pPr>
              <w:jc w:val="both"/>
              <w:rPr>
                <w:lang w:val="fr-BE"/>
              </w:rPr>
            </w:pPr>
          </w:p>
          <w:p w:rsidR="00FA371B" w:rsidRDefault="00F82605" w:rsidP="00BF4912">
            <w:pPr>
              <w:jc w:val="both"/>
              <w:rPr>
                <w:lang w:val="fr-BE"/>
              </w:rPr>
            </w:pPr>
            <w:r>
              <w:rPr>
                <w:lang w:val="fr-BE"/>
              </w:rPr>
              <w:t>Conformément au droit commun, a</w:t>
            </w:r>
            <w:r w:rsidR="00927721">
              <w:rPr>
                <w:lang w:val="fr-BE"/>
              </w:rPr>
              <w:t>ucune indemnisation n’est due au consommateur si le contrat est dissous pour cause de force majeure</w:t>
            </w:r>
            <w:r>
              <w:rPr>
                <w:lang w:val="fr-BE"/>
              </w:rPr>
              <w:t xml:space="preserve">. </w:t>
            </w:r>
          </w:p>
          <w:p w:rsidR="00A3740E" w:rsidRDefault="00A3740E" w:rsidP="00BF4912">
            <w:pPr>
              <w:jc w:val="both"/>
              <w:rPr>
                <w:lang w:val="fr-BE"/>
              </w:rPr>
            </w:pPr>
          </w:p>
          <w:p w:rsidR="00A3740E" w:rsidRDefault="00A3740E" w:rsidP="00BF4912">
            <w:pPr>
              <w:jc w:val="both"/>
              <w:rPr>
                <w:lang w:val="fr-BE"/>
              </w:rPr>
            </w:pPr>
            <w:r>
              <w:rPr>
                <w:lang w:val="fr-BE"/>
              </w:rPr>
              <w:t xml:space="preserve">Nous renvoyons le lecteur à la contribution de C.-E. Lambert et de R. </w:t>
            </w:r>
            <w:proofErr w:type="spellStart"/>
            <w:r>
              <w:rPr>
                <w:lang w:val="fr-BE"/>
              </w:rPr>
              <w:t>Thüngen</w:t>
            </w:r>
            <w:proofErr w:type="spellEnd"/>
            <w:r>
              <w:rPr>
                <w:lang w:val="fr-BE"/>
              </w:rPr>
              <w:t>, dans le présent ouvrage, sur les clauses d’inexécution.</w:t>
            </w:r>
          </w:p>
        </w:tc>
      </w:tr>
      <w:tr w:rsidR="001C7680" w:rsidRPr="00151932" w:rsidTr="00B06977">
        <w:tc>
          <w:tcPr>
            <w:tcW w:w="4248" w:type="dxa"/>
          </w:tcPr>
          <w:p w:rsidR="00CA3BD9" w:rsidRDefault="001C7680" w:rsidP="00E7773C">
            <w:pPr>
              <w:jc w:val="both"/>
              <w:rPr>
                <w:lang w:val="fr-BE"/>
              </w:rPr>
            </w:pPr>
            <w:r>
              <w:rPr>
                <w:lang w:val="fr-BE"/>
              </w:rPr>
              <w:lastRenderedPageBreak/>
              <w:t>VI.83, 11°</w:t>
            </w:r>
            <w:r w:rsidR="00E05D52">
              <w:rPr>
                <w:lang w:val="fr-BE"/>
              </w:rPr>
              <w:t>, du CDE</w:t>
            </w:r>
            <w:r w:rsidR="00F82605">
              <w:rPr>
                <w:lang w:val="fr-BE"/>
              </w:rPr>
              <w:t xml:space="preserve"> : </w:t>
            </w:r>
            <w:r w:rsidR="00F82605" w:rsidRPr="00F82605">
              <w:rPr>
                <w:i/>
                <w:lang w:val="fr-BE"/>
              </w:rPr>
              <w:t>« </w:t>
            </w:r>
            <w:r w:rsidR="00F82605">
              <w:rPr>
                <w:i/>
                <w:lang w:val="fr-BE"/>
              </w:rPr>
              <w:t>sans préjudice de l’</w:t>
            </w:r>
            <w:r w:rsidR="00F82605" w:rsidRPr="00F82605">
              <w:rPr>
                <w:i/>
                <w:lang w:val="fr-BE"/>
              </w:rPr>
              <w:t xml:space="preserve">article </w:t>
            </w:r>
            <w:r w:rsidR="00F82605">
              <w:rPr>
                <w:i/>
                <w:lang w:val="fr-BE"/>
              </w:rPr>
              <w:t>1184 du Code civil, autoriser l’</w:t>
            </w:r>
            <w:r w:rsidR="00F82605" w:rsidRPr="00F82605">
              <w:rPr>
                <w:i/>
                <w:lang w:val="fr-BE"/>
              </w:rPr>
              <w:t>entreprise à mettre fin unilatéralement au contrat à durée indéterminée sans un délai de préavis raisonnable, hormis le cas de force majeure</w:t>
            </w:r>
            <w:r w:rsidR="00F82605">
              <w:rPr>
                <w:lang w:val="fr-BE"/>
              </w:rPr>
              <w:t> »</w:t>
            </w:r>
          </w:p>
          <w:p w:rsidR="00C53CC9" w:rsidRDefault="00C53CC9" w:rsidP="00E7773C">
            <w:pPr>
              <w:jc w:val="both"/>
              <w:rPr>
                <w:lang w:val="fr-BE"/>
              </w:rPr>
            </w:pPr>
          </w:p>
          <w:p w:rsidR="00CA3BD9" w:rsidRDefault="00CA3BD9" w:rsidP="00E7773C">
            <w:pPr>
              <w:jc w:val="both"/>
              <w:rPr>
                <w:lang w:val="fr-BE"/>
              </w:rPr>
            </w:pPr>
            <w:r>
              <w:rPr>
                <w:lang w:val="fr-BE"/>
              </w:rPr>
              <w:t xml:space="preserve">Clause figurant dans la </w:t>
            </w:r>
            <w:r w:rsidRPr="00E7773C">
              <w:rPr>
                <w:b/>
                <w:lang w:val="fr-BE"/>
              </w:rPr>
              <w:t>liste noire</w:t>
            </w:r>
            <w:r>
              <w:rPr>
                <w:lang w:val="fr-BE"/>
              </w:rPr>
              <w:t>, abusive en toutes circonstances</w:t>
            </w:r>
          </w:p>
          <w:p w:rsidR="00290D4E" w:rsidRDefault="00290D4E" w:rsidP="00E7773C">
            <w:pPr>
              <w:jc w:val="both"/>
              <w:rPr>
                <w:lang w:val="fr-BE"/>
              </w:rPr>
            </w:pPr>
          </w:p>
          <w:p w:rsidR="00290D4E" w:rsidRPr="00525BB2" w:rsidRDefault="00290D4E" w:rsidP="00E7773C">
            <w:pPr>
              <w:jc w:val="both"/>
              <w:rPr>
                <w:i/>
                <w:lang w:val="fr-BE"/>
              </w:rPr>
            </w:pPr>
          </w:p>
        </w:tc>
        <w:tc>
          <w:tcPr>
            <w:tcW w:w="4252" w:type="dxa"/>
          </w:tcPr>
          <w:p w:rsidR="001C7680" w:rsidRDefault="001C7680" w:rsidP="00E7773C">
            <w:pPr>
              <w:jc w:val="both"/>
              <w:rPr>
                <w:lang w:val="fr-BE"/>
              </w:rPr>
            </w:pPr>
          </w:p>
        </w:tc>
        <w:tc>
          <w:tcPr>
            <w:tcW w:w="4395" w:type="dxa"/>
          </w:tcPr>
          <w:p w:rsidR="002179B1" w:rsidRDefault="002179B1" w:rsidP="00E7773C">
            <w:pPr>
              <w:jc w:val="both"/>
              <w:rPr>
                <w:lang w:val="fr-BE"/>
              </w:rPr>
            </w:pPr>
            <w:r>
              <w:rPr>
                <w:lang w:val="fr-BE"/>
              </w:rPr>
              <w:t xml:space="preserve">Cette disposition vise à imposer à l’entreprise le respect d’un délai de préavis raisonnable si elle souhaite résilier unilatéralement, en dehors de tout manquement imputable au consommateur, un contrat à </w:t>
            </w:r>
            <w:r w:rsidRPr="00C53CC9">
              <w:rPr>
                <w:i/>
                <w:lang w:val="fr-BE"/>
              </w:rPr>
              <w:t>durée indéterminée</w:t>
            </w:r>
            <w:r w:rsidR="00111E80">
              <w:rPr>
                <w:lang w:val="fr-BE"/>
              </w:rPr>
              <w:t>. Il s’agit d’une application du droit commun</w:t>
            </w:r>
            <w:r w:rsidR="006226FD" w:rsidRPr="00111E80">
              <w:rPr>
                <w:rStyle w:val="Appelnotedebasdep"/>
                <w:lang w:val="fr-BE"/>
              </w:rPr>
              <w:footnoteReference w:id="28"/>
            </w:r>
            <w:r w:rsidR="006226FD">
              <w:rPr>
                <w:lang w:val="fr-BE"/>
              </w:rPr>
              <w:t xml:space="preserve">. </w:t>
            </w:r>
          </w:p>
          <w:p w:rsidR="006226FD" w:rsidRDefault="006226FD" w:rsidP="00E7773C">
            <w:pPr>
              <w:jc w:val="both"/>
              <w:rPr>
                <w:lang w:val="fr-BE"/>
              </w:rPr>
            </w:pPr>
          </w:p>
          <w:p w:rsidR="002179B1" w:rsidRDefault="006226FD" w:rsidP="002179B1">
            <w:pPr>
              <w:jc w:val="both"/>
              <w:rPr>
                <w:lang w:val="fr-BE"/>
              </w:rPr>
            </w:pPr>
            <w:r>
              <w:rPr>
                <w:lang w:val="fr-BE"/>
              </w:rPr>
              <w:t xml:space="preserve">L’article VI.83, 11°, du CDE </w:t>
            </w:r>
            <w:r w:rsidR="002179B1">
              <w:rPr>
                <w:lang w:val="fr-BE"/>
              </w:rPr>
              <w:t xml:space="preserve">n’a pas vocation à s’appliquer aux clauses résolutoires expresses, lesquelles supposent l’existence d’une faute dans le chef du </w:t>
            </w:r>
            <w:r w:rsidR="002179B1">
              <w:rPr>
                <w:lang w:val="fr-BE"/>
              </w:rPr>
              <w:lastRenderedPageBreak/>
              <w:t>consommateur (cf. les termes « sans préjudice de l’article 1184 du Code civil »).</w:t>
            </w:r>
          </w:p>
          <w:p w:rsidR="002179B1" w:rsidRDefault="002179B1" w:rsidP="002179B1">
            <w:pPr>
              <w:jc w:val="both"/>
              <w:rPr>
                <w:lang w:val="fr-BE"/>
              </w:rPr>
            </w:pPr>
          </w:p>
          <w:p w:rsidR="00A3740E" w:rsidRDefault="002179B1" w:rsidP="00E7773C">
            <w:pPr>
              <w:jc w:val="both"/>
              <w:rPr>
                <w:lang w:val="fr-BE"/>
              </w:rPr>
            </w:pPr>
            <w:r>
              <w:rPr>
                <w:lang w:val="fr-BE"/>
              </w:rPr>
              <w:t xml:space="preserve">Aucun délai raisonnable ne doit être respecté en cas de force majeure. En effet, le contrat est, en principe, dissous de plein droit. </w:t>
            </w:r>
          </w:p>
          <w:p w:rsidR="00A3740E" w:rsidRDefault="00A3740E" w:rsidP="00E7773C">
            <w:pPr>
              <w:jc w:val="both"/>
              <w:rPr>
                <w:lang w:val="fr-BE"/>
              </w:rPr>
            </w:pPr>
          </w:p>
          <w:p w:rsidR="002179B1" w:rsidRDefault="00A3740E" w:rsidP="00E7773C">
            <w:pPr>
              <w:jc w:val="both"/>
              <w:rPr>
                <w:lang w:val="fr-BE"/>
              </w:rPr>
            </w:pPr>
            <w:r>
              <w:rPr>
                <w:lang w:val="fr-BE"/>
              </w:rPr>
              <w:t xml:space="preserve">Nous renvoyons le lecteur à la contribution de C.-E. Lambert et de R. </w:t>
            </w:r>
            <w:proofErr w:type="spellStart"/>
            <w:r>
              <w:rPr>
                <w:lang w:val="fr-BE"/>
              </w:rPr>
              <w:t>Thüngen</w:t>
            </w:r>
            <w:proofErr w:type="spellEnd"/>
            <w:r>
              <w:rPr>
                <w:lang w:val="fr-BE"/>
              </w:rPr>
              <w:t xml:space="preserve">, dans le présent ouvrage, sur les clauses d’inexécution. </w:t>
            </w:r>
            <w:r w:rsidR="002179B1">
              <w:rPr>
                <w:lang w:val="fr-BE"/>
              </w:rPr>
              <w:t xml:space="preserve"> </w:t>
            </w:r>
          </w:p>
        </w:tc>
      </w:tr>
      <w:tr w:rsidR="001C7680" w:rsidRPr="00151932" w:rsidTr="00B06977">
        <w:tc>
          <w:tcPr>
            <w:tcW w:w="4248" w:type="dxa"/>
          </w:tcPr>
          <w:p w:rsidR="001C7680" w:rsidRDefault="001C7680" w:rsidP="00CA3BD9">
            <w:pPr>
              <w:jc w:val="both"/>
              <w:rPr>
                <w:lang w:val="fr-BE"/>
              </w:rPr>
            </w:pPr>
            <w:r>
              <w:rPr>
                <w:lang w:val="fr-BE"/>
              </w:rPr>
              <w:lastRenderedPageBreak/>
              <w:t>VI.83, 12°</w:t>
            </w:r>
            <w:r w:rsidR="00E05D52">
              <w:rPr>
                <w:lang w:val="fr-BE"/>
              </w:rPr>
              <w:t>, du CDE</w:t>
            </w:r>
            <w:r w:rsidR="00CA3BD9">
              <w:rPr>
                <w:lang w:val="fr-BE"/>
              </w:rPr>
              <w:t xml:space="preserve"> : </w:t>
            </w:r>
            <w:r w:rsidR="00CA3BD9" w:rsidRPr="00CA3BD9">
              <w:rPr>
                <w:i/>
                <w:lang w:val="fr-BE"/>
              </w:rPr>
              <w:t>« en cas de force majeure, n’autoriser le consommateur à rompre le contrat que moyennant le paiement de dommages-intérêts</w:t>
            </w:r>
            <w:r w:rsidR="00CA3BD9">
              <w:rPr>
                <w:lang w:val="fr-BE"/>
              </w:rPr>
              <w:t> »</w:t>
            </w:r>
          </w:p>
          <w:p w:rsidR="00CA3BD9" w:rsidRDefault="00CA3BD9" w:rsidP="00CA3BD9">
            <w:pPr>
              <w:jc w:val="both"/>
              <w:rPr>
                <w:lang w:val="fr-BE"/>
              </w:rPr>
            </w:pPr>
          </w:p>
          <w:p w:rsidR="00CA3BD9" w:rsidRDefault="00CA3BD9" w:rsidP="00CA3BD9">
            <w:pPr>
              <w:jc w:val="both"/>
              <w:rPr>
                <w:lang w:val="fr-BE"/>
              </w:rPr>
            </w:pPr>
            <w:r>
              <w:rPr>
                <w:lang w:val="fr-BE"/>
              </w:rPr>
              <w:t xml:space="preserve">Clause figurant dans la </w:t>
            </w:r>
            <w:r w:rsidRPr="00E7773C">
              <w:rPr>
                <w:b/>
                <w:lang w:val="fr-BE"/>
              </w:rPr>
              <w:t>liste noire</w:t>
            </w:r>
            <w:r>
              <w:rPr>
                <w:lang w:val="fr-BE"/>
              </w:rPr>
              <w:t>, abusive en toutes circonstances</w:t>
            </w:r>
          </w:p>
          <w:p w:rsidR="00290D4E" w:rsidRDefault="00290D4E" w:rsidP="00CA3BD9">
            <w:pPr>
              <w:jc w:val="both"/>
              <w:rPr>
                <w:lang w:val="fr-BE"/>
              </w:rPr>
            </w:pPr>
          </w:p>
          <w:p w:rsidR="00290D4E" w:rsidRPr="00525BB2" w:rsidRDefault="00290D4E" w:rsidP="00CA3BD9">
            <w:pPr>
              <w:jc w:val="both"/>
              <w:rPr>
                <w:i/>
                <w:lang w:val="fr-BE"/>
              </w:rPr>
            </w:pPr>
          </w:p>
        </w:tc>
        <w:tc>
          <w:tcPr>
            <w:tcW w:w="4252" w:type="dxa"/>
          </w:tcPr>
          <w:p w:rsidR="001C7680" w:rsidRDefault="001C7680" w:rsidP="00E7773C">
            <w:pPr>
              <w:jc w:val="both"/>
              <w:rPr>
                <w:lang w:val="fr-BE"/>
              </w:rPr>
            </w:pPr>
          </w:p>
        </w:tc>
        <w:tc>
          <w:tcPr>
            <w:tcW w:w="4395" w:type="dxa"/>
          </w:tcPr>
          <w:p w:rsidR="00B06977" w:rsidRDefault="001422AA" w:rsidP="001422AA">
            <w:pPr>
              <w:jc w:val="both"/>
              <w:rPr>
                <w:lang w:val="fr-BE"/>
              </w:rPr>
            </w:pPr>
            <w:r>
              <w:rPr>
                <w:lang w:val="fr-BE"/>
              </w:rPr>
              <w:t xml:space="preserve">En droit commun, le débiteur confronté à un cas de force majeure est (temporairement ou définitivement, selon les cas) libéré de son obligation, sans être tenu au paiement de dommages et intérêts. </w:t>
            </w:r>
            <w:r w:rsidR="00B56295">
              <w:rPr>
                <w:lang w:val="fr-BE"/>
              </w:rPr>
              <w:t xml:space="preserve">La disposition vise à interdire les clauses </w:t>
            </w:r>
            <w:r>
              <w:rPr>
                <w:lang w:val="fr-BE"/>
              </w:rPr>
              <w:t>par lesquelles le consommateur serait amené à payer une indemnité alors qu’il peut se prévaloir de l’effet libératoire de la force majeure</w:t>
            </w:r>
            <w:r w:rsidR="00316C6F">
              <w:rPr>
                <w:lang w:val="fr-BE"/>
              </w:rPr>
              <w:t xml:space="preserve"> ou de la théorie des risques</w:t>
            </w:r>
            <w:r w:rsidR="00316C6F">
              <w:rPr>
                <w:rStyle w:val="Appelnotedebasdep"/>
                <w:lang w:val="fr-BE"/>
              </w:rPr>
              <w:footnoteReference w:id="29"/>
            </w:r>
            <w:r>
              <w:rPr>
                <w:lang w:val="fr-BE"/>
              </w:rPr>
              <w:t xml:space="preserve">. </w:t>
            </w:r>
          </w:p>
          <w:p w:rsidR="00A3740E" w:rsidRDefault="00A3740E" w:rsidP="001422AA">
            <w:pPr>
              <w:jc w:val="both"/>
              <w:rPr>
                <w:lang w:val="fr-BE"/>
              </w:rPr>
            </w:pPr>
          </w:p>
          <w:p w:rsidR="00A3740E" w:rsidRDefault="00A3740E" w:rsidP="001422AA">
            <w:pPr>
              <w:jc w:val="both"/>
              <w:rPr>
                <w:lang w:val="fr-BE"/>
              </w:rPr>
            </w:pPr>
            <w:r>
              <w:rPr>
                <w:lang w:val="fr-BE"/>
              </w:rPr>
              <w:t xml:space="preserve">Nous renvoyons le lecteur à la contribution de C.-E. Lambert et de R. </w:t>
            </w:r>
            <w:proofErr w:type="spellStart"/>
            <w:r>
              <w:rPr>
                <w:lang w:val="fr-BE"/>
              </w:rPr>
              <w:t>Thüngen</w:t>
            </w:r>
            <w:proofErr w:type="spellEnd"/>
            <w:r>
              <w:rPr>
                <w:lang w:val="fr-BE"/>
              </w:rPr>
              <w:t>, dans le présent ouvrage, sur les clauses d’inexécution.</w:t>
            </w:r>
          </w:p>
        </w:tc>
      </w:tr>
      <w:tr w:rsidR="00F4476A" w:rsidRPr="00151932" w:rsidTr="00B06977">
        <w:tc>
          <w:tcPr>
            <w:tcW w:w="4248" w:type="dxa"/>
          </w:tcPr>
          <w:p w:rsidR="00F4476A" w:rsidRDefault="00E05D52" w:rsidP="00CA3BD9">
            <w:pPr>
              <w:jc w:val="both"/>
              <w:rPr>
                <w:lang w:val="fr-BE"/>
              </w:rPr>
            </w:pPr>
            <w:r>
              <w:rPr>
                <w:lang w:val="fr-BE"/>
              </w:rPr>
              <w:t xml:space="preserve">Art. VI.83, 13°, du CDE </w:t>
            </w:r>
            <w:r w:rsidR="00F4476A">
              <w:rPr>
                <w:lang w:val="fr-BE"/>
              </w:rPr>
              <w:t>: « </w:t>
            </w:r>
            <w:r w:rsidR="00F4476A">
              <w:rPr>
                <w:i/>
                <w:lang w:val="fr-BE"/>
              </w:rPr>
              <w:t>libérer l’</w:t>
            </w:r>
            <w:r w:rsidR="00F4476A" w:rsidRPr="00F4476A">
              <w:rPr>
                <w:i/>
                <w:lang w:val="fr-BE"/>
              </w:rPr>
              <w:t xml:space="preserve">entreprise de sa responsabilité du fait de </w:t>
            </w:r>
            <w:r w:rsidR="00F4476A" w:rsidRPr="00F4476A">
              <w:rPr>
                <w:i/>
                <w:lang w:val="fr-BE"/>
              </w:rPr>
              <w:lastRenderedPageBreak/>
              <w:t>son dol, de sa faute lourde ou de celle de ses préposés ou mandataires, ou, sauf en cas de force majeure,</w:t>
            </w:r>
            <w:r w:rsidR="003F1E33">
              <w:rPr>
                <w:i/>
                <w:lang w:val="fr-BE"/>
              </w:rPr>
              <w:t xml:space="preserve"> du fait de toute inexécution d’</w:t>
            </w:r>
            <w:r w:rsidR="00F4476A" w:rsidRPr="00F4476A">
              <w:rPr>
                <w:i/>
                <w:lang w:val="fr-BE"/>
              </w:rPr>
              <w:t>une obligation consistant en une des prestations principales du contrat</w:t>
            </w:r>
            <w:r w:rsidR="00F4476A">
              <w:rPr>
                <w:lang w:val="fr-BE"/>
              </w:rPr>
              <w:t> »</w:t>
            </w:r>
          </w:p>
          <w:p w:rsidR="00F4476A" w:rsidRDefault="00F4476A" w:rsidP="00CA3BD9">
            <w:pPr>
              <w:jc w:val="both"/>
              <w:rPr>
                <w:lang w:val="fr-BE"/>
              </w:rPr>
            </w:pPr>
          </w:p>
          <w:p w:rsidR="00F4476A" w:rsidRDefault="00F4476A" w:rsidP="00F4476A">
            <w:pPr>
              <w:jc w:val="both"/>
              <w:rPr>
                <w:lang w:val="fr-BE"/>
              </w:rPr>
            </w:pPr>
            <w:r>
              <w:rPr>
                <w:lang w:val="fr-BE"/>
              </w:rPr>
              <w:t xml:space="preserve">Clause figurant dans la </w:t>
            </w:r>
            <w:r w:rsidRPr="00E7773C">
              <w:rPr>
                <w:b/>
                <w:lang w:val="fr-BE"/>
              </w:rPr>
              <w:t>liste noire</w:t>
            </w:r>
            <w:r>
              <w:rPr>
                <w:lang w:val="fr-BE"/>
              </w:rPr>
              <w:t>, abusive en toutes circonstances</w:t>
            </w:r>
          </w:p>
          <w:p w:rsidR="00F4476A" w:rsidRDefault="00F4476A" w:rsidP="00CA3BD9">
            <w:pPr>
              <w:jc w:val="both"/>
              <w:rPr>
                <w:lang w:val="fr-BE"/>
              </w:rPr>
            </w:pPr>
          </w:p>
          <w:p w:rsidR="00290D4E" w:rsidRPr="00525BB2" w:rsidRDefault="00290D4E" w:rsidP="00CA3BD9">
            <w:pPr>
              <w:jc w:val="both"/>
              <w:rPr>
                <w:i/>
                <w:lang w:val="fr-BE"/>
              </w:rPr>
            </w:pPr>
          </w:p>
        </w:tc>
        <w:tc>
          <w:tcPr>
            <w:tcW w:w="4252" w:type="dxa"/>
          </w:tcPr>
          <w:p w:rsidR="00F4476A" w:rsidRDefault="00E05D52" w:rsidP="00F4476A">
            <w:pPr>
              <w:jc w:val="both"/>
              <w:rPr>
                <w:lang w:val="fr-BE"/>
              </w:rPr>
            </w:pPr>
            <w:r>
              <w:rPr>
                <w:lang w:val="fr-BE"/>
              </w:rPr>
              <w:lastRenderedPageBreak/>
              <w:t xml:space="preserve">Art. VI.91/5, 6°, du CDE </w:t>
            </w:r>
            <w:r w:rsidR="00F4476A">
              <w:rPr>
                <w:lang w:val="fr-BE"/>
              </w:rPr>
              <w:t>: «</w:t>
            </w:r>
            <w:r w:rsidR="00F4476A" w:rsidRPr="00F4476A">
              <w:rPr>
                <w:lang w:val="fr-BE"/>
              </w:rPr>
              <w:t xml:space="preserve"> </w:t>
            </w:r>
            <w:r w:rsidR="00F4476A" w:rsidRPr="00F4476A">
              <w:rPr>
                <w:i/>
                <w:lang w:val="fr-BE"/>
              </w:rPr>
              <w:t>libérer l</w:t>
            </w:r>
            <w:r w:rsidR="00CE79A5">
              <w:rPr>
                <w:i/>
                <w:lang w:val="fr-BE"/>
              </w:rPr>
              <w:t>’</w:t>
            </w:r>
            <w:r w:rsidR="00F4476A" w:rsidRPr="00F4476A">
              <w:rPr>
                <w:i/>
                <w:lang w:val="fr-BE"/>
              </w:rPr>
              <w:t xml:space="preserve">entreprise de sa responsabilité du fait de </w:t>
            </w:r>
            <w:r w:rsidR="00F4476A" w:rsidRPr="00F4476A">
              <w:rPr>
                <w:i/>
                <w:lang w:val="fr-BE"/>
              </w:rPr>
              <w:lastRenderedPageBreak/>
              <w:t>son dol, de sa faute grave ou de celle de ses préposés</w:t>
            </w:r>
            <w:r w:rsidR="00F4476A">
              <w:rPr>
                <w:i/>
                <w:lang w:val="fr-BE"/>
              </w:rPr>
              <w:t xml:space="preserve"> </w:t>
            </w:r>
            <w:r w:rsidR="00F4476A" w:rsidRPr="00F4476A">
              <w:rPr>
                <w:i/>
                <w:lang w:val="fr-BE"/>
              </w:rPr>
              <w:t>ou, sauf en cas de force majeure, du fait de toute inexécution des engagements essentiels qui font l’objet du contrat</w:t>
            </w:r>
            <w:r w:rsidR="00F4476A">
              <w:rPr>
                <w:lang w:val="fr-BE"/>
              </w:rPr>
              <w:t> »</w:t>
            </w:r>
          </w:p>
          <w:p w:rsidR="00F4476A" w:rsidRDefault="00F4476A" w:rsidP="00F4476A">
            <w:pPr>
              <w:jc w:val="both"/>
              <w:rPr>
                <w:lang w:val="fr-BE"/>
              </w:rPr>
            </w:pPr>
          </w:p>
          <w:p w:rsidR="00F4476A" w:rsidRDefault="00F4476A" w:rsidP="00F4476A">
            <w:pPr>
              <w:jc w:val="both"/>
              <w:rPr>
                <w:lang w:val="fr-BE"/>
              </w:rPr>
            </w:pPr>
          </w:p>
          <w:p w:rsidR="00F4476A" w:rsidRDefault="00F4476A" w:rsidP="00F4476A">
            <w:pPr>
              <w:jc w:val="both"/>
              <w:rPr>
                <w:lang w:val="fr-BE"/>
              </w:rPr>
            </w:pPr>
            <w:r>
              <w:rPr>
                <w:lang w:val="fr-BE"/>
              </w:rPr>
              <w:t xml:space="preserve">Clause figurant dans la </w:t>
            </w:r>
            <w:r w:rsidRPr="00F4476A">
              <w:rPr>
                <w:b/>
                <w:lang w:val="fr-BE"/>
              </w:rPr>
              <w:t>liste grise</w:t>
            </w:r>
            <w:r>
              <w:rPr>
                <w:lang w:val="fr-BE"/>
              </w:rPr>
              <w:t>, abusive sauf preuve contraire</w:t>
            </w:r>
          </w:p>
        </w:tc>
        <w:tc>
          <w:tcPr>
            <w:tcW w:w="4395" w:type="dxa"/>
          </w:tcPr>
          <w:p w:rsidR="00F4476A" w:rsidRDefault="007C0D3E" w:rsidP="007C0D3E">
            <w:pPr>
              <w:jc w:val="both"/>
              <w:rPr>
                <w:lang w:val="fr-BE"/>
              </w:rPr>
            </w:pPr>
            <w:r>
              <w:rPr>
                <w:lang w:val="fr-BE"/>
              </w:rPr>
              <w:lastRenderedPageBreak/>
              <w:t>Le droit commun interdit à un débiteur de s’affranchir de son dol</w:t>
            </w:r>
            <w:r w:rsidR="00B31AEC">
              <w:rPr>
                <w:lang w:val="fr-BE"/>
              </w:rPr>
              <w:t xml:space="preserve">. Les dispositions </w:t>
            </w:r>
            <w:r w:rsidR="00B31AEC">
              <w:rPr>
                <w:lang w:val="fr-BE"/>
              </w:rPr>
              <w:lastRenderedPageBreak/>
              <w:t xml:space="preserve">dont question </w:t>
            </w:r>
            <w:r w:rsidR="00FF0530">
              <w:rPr>
                <w:lang w:val="fr-BE"/>
              </w:rPr>
              <w:t xml:space="preserve"> </w:t>
            </w:r>
            <w:r w:rsidR="00637169">
              <w:rPr>
                <w:lang w:val="fr-BE"/>
              </w:rPr>
              <w:t>sont</w:t>
            </w:r>
            <w:r w:rsidR="00CE79A5">
              <w:rPr>
                <w:lang w:val="fr-BE"/>
              </w:rPr>
              <w:t xml:space="preserve"> dès lors</w:t>
            </w:r>
            <w:r w:rsidR="00637169">
              <w:rPr>
                <w:lang w:val="fr-BE"/>
              </w:rPr>
              <w:t xml:space="preserve"> plus sévères</w:t>
            </w:r>
            <w:r>
              <w:rPr>
                <w:lang w:val="fr-BE"/>
              </w:rPr>
              <w:t xml:space="preserve"> </w:t>
            </w:r>
            <w:r w:rsidR="003B4FD4">
              <w:rPr>
                <w:lang w:val="fr-BE"/>
              </w:rPr>
              <w:t xml:space="preserve">dans la mesure où </w:t>
            </w:r>
            <w:r w:rsidR="00637169">
              <w:rPr>
                <w:lang w:val="fr-BE"/>
              </w:rPr>
              <w:t xml:space="preserve">elles condamnent également les clauses visant à s’exonérer </w:t>
            </w:r>
            <w:r w:rsidR="004E2AF3">
              <w:rPr>
                <w:lang w:val="fr-BE"/>
              </w:rPr>
              <w:t xml:space="preserve">(totalement) </w:t>
            </w:r>
            <w:r w:rsidR="00637169">
              <w:rPr>
                <w:lang w:val="fr-BE"/>
              </w:rPr>
              <w:t>de sa faute lourde</w:t>
            </w:r>
            <w:r w:rsidR="00F11593">
              <w:rPr>
                <w:lang w:val="fr-BE"/>
              </w:rPr>
              <w:t>/grave</w:t>
            </w:r>
            <w:r w:rsidR="007F6B50">
              <w:rPr>
                <w:rStyle w:val="Appelnotedebasdep"/>
                <w:lang w:val="fr-BE"/>
              </w:rPr>
              <w:footnoteReference w:id="30"/>
            </w:r>
            <w:r w:rsidR="007F6B50" w:rsidRPr="007F6B50">
              <w:rPr>
                <w:lang w:val="fr-BE"/>
              </w:rPr>
              <w:t xml:space="preserve"> </w:t>
            </w:r>
            <w:r w:rsidR="00637169">
              <w:rPr>
                <w:lang w:val="fr-BE"/>
              </w:rPr>
              <w:t>ainsi que du dol ou de la faute lourde</w:t>
            </w:r>
            <w:r w:rsidR="00F11593">
              <w:rPr>
                <w:lang w:val="fr-BE"/>
              </w:rPr>
              <w:t>/grave</w:t>
            </w:r>
            <w:r w:rsidR="00637169">
              <w:rPr>
                <w:lang w:val="fr-BE"/>
              </w:rPr>
              <w:t xml:space="preserve"> de ses préposés ou mandataires</w:t>
            </w:r>
            <w:r w:rsidR="004E2AF3">
              <w:rPr>
                <w:lang w:val="fr-BE"/>
              </w:rPr>
              <w:t xml:space="preserve"> (</w:t>
            </w:r>
            <w:r w:rsidR="00A02BB9">
              <w:rPr>
                <w:lang w:val="fr-BE"/>
              </w:rPr>
              <w:t xml:space="preserve">ces derniers ne semblent toutefois visés que par le texte </w:t>
            </w:r>
            <w:r w:rsidR="000600BC">
              <w:rPr>
                <w:lang w:val="fr-BE"/>
              </w:rPr>
              <w:t>de l’article VI.83, 13°, du CDE</w:t>
            </w:r>
            <w:r w:rsidR="00A02BB9">
              <w:rPr>
                <w:lang w:val="fr-BE"/>
              </w:rPr>
              <w:t xml:space="preserve"> </w:t>
            </w:r>
            <w:r w:rsidR="000600BC">
              <w:rPr>
                <w:lang w:val="fr-BE"/>
              </w:rPr>
              <w:t>concernant</w:t>
            </w:r>
            <w:r w:rsidR="00A02BB9">
              <w:rPr>
                <w:lang w:val="fr-BE"/>
              </w:rPr>
              <w:t xml:space="preserve"> les relations B2C)</w:t>
            </w:r>
            <w:r w:rsidR="00637169">
              <w:rPr>
                <w:lang w:val="fr-BE"/>
              </w:rPr>
              <w:t xml:space="preserve">. </w:t>
            </w:r>
          </w:p>
          <w:p w:rsidR="007C0D3E" w:rsidRDefault="007C0D3E" w:rsidP="007C0D3E">
            <w:pPr>
              <w:jc w:val="both"/>
              <w:rPr>
                <w:lang w:val="fr-BE"/>
              </w:rPr>
            </w:pPr>
          </w:p>
          <w:p w:rsidR="007C0D3E" w:rsidRDefault="007C0D3E" w:rsidP="007C0D3E">
            <w:pPr>
              <w:jc w:val="both"/>
              <w:rPr>
                <w:lang w:val="fr-BE"/>
              </w:rPr>
            </w:pPr>
            <w:r>
              <w:rPr>
                <w:lang w:val="fr-BE"/>
              </w:rPr>
              <w:t>L’on retrouve par ailleurs l’interdiction –</w:t>
            </w:r>
            <w:r w:rsidR="00B31AEC">
              <w:rPr>
                <w:lang w:val="fr-BE"/>
              </w:rPr>
              <w:t xml:space="preserve">portée déjà par le </w:t>
            </w:r>
            <w:r>
              <w:rPr>
                <w:lang w:val="fr-BE"/>
              </w:rPr>
              <w:t>droit commun –</w:t>
            </w:r>
            <w:r w:rsidR="003B4FD4">
              <w:rPr>
                <w:lang w:val="fr-BE"/>
              </w:rPr>
              <w:t xml:space="preserve"> </w:t>
            </w:r>
            <w:r w:rsidRPr="007C0D3E">
              <w:rPr>
                <w:lang w:val="fr-BE"/>
              </w:rPr>
              <w:t>des clauses exonératoires de responsabilité qui privent le contrat de sa substance voire, par extension, de son effet utile</w:t>
            </w:r>
            <w:r>
              <w:rPr>
                <w:rStyle w:val="Appelnotedebasdep"/>
                <w:lang w:val="fr-BE"/>
              </w:rPr>
              <w:footnoteReference w:id="31"/>
            </w:r>
            <w:r>
              <w:rPr>
                <w:lang w:val="fr-BE"/>
              </w:rPr>
              <w:t>.</w:t>
            </w:r>
          </w:p>
          <w:p w:rsidR="002D277D" w:rsidRDefault="008C6195" w:rsidP="00CE79A5">
            <w:pPr>
              <w:jc w:val="both"/>
              <w:rPr>
                <w:lang w:val="fr-BE"/>
              </w:rPr>
            </w:pPr>
            <w:r>
              <w:rPr>
                <w:lang w:val="fr-BE"/>
              </w:rPr>
              <w:t xml:space="preserve">La majorité de la doctrine semble estimer que le terme </w:t>
            </w:r>
            <w:r w:rsidR="002D277D">
              <w:rPr>
                <w:lang w:val="fr-BE"/>
              </w:rPr>
              <w:t xml:space="preserve">« libérer » vise </w:t>
            </w:r>
            <w:r>
              <w:rPr>
                <w:lang w:val="fr-BE"/>
              </w:rPr>
              <w:t xml:space="preserve">uniquement les clauses (complètement) exonératoires et non celles qui </w:t>
            </w:r>
            <w:r>
              <w:rPr>
                <w:i/>
                <w:lang w:val="fr-BE"/>
              </w:rPr>
              <w:t xml:space="preserve">limitent </w:t>
            </w:r>
            <w:r>
              <w:rPr>
                <w:lang w:val="fr-BE"/>
              </w:rPr>
              <w:t>la responsabilité</w:t>
            </w:r>
            <w:r w:rsidR="002D277D">
              <w:rPr>
                <w:rStyle w:val="Appelnotedebasdep"/>
                <w:lang w:val="fr-BE"/>
              </w:rPr>
              <w:footnoteReference w:id="32"/>
            </w:r>
            <w:r w:rsidR="002D277D">
              <w:rPr>
                <w:lang w:val="fr-BE"/>
              </w:rPr>
              <w:t>.</w:t>
            </w:r>
          </w:p>
          <w:p w:rsidR="007F6B50" w:rsidRDefault="007F6B50" w:rsidP="00CE79A5">
            <w:pPr>
              <w:jc w:val="both"/>
              <w:rPr>
                <w:lang w:val="fr-BE"/>
              </w:rPr>
            </w:pPr>
          </w:p>
          <w:p w:rsidR="007F6B50" w:rsidRDefault="007C0D3E" w:rsidP="00CE79A5">
            <w:pPr>
              <w:jc w:val="both"/>
              <w:rPr>
                <w:lang w:val="fr-BE"/>
              </w:rPr>
            </w:pPr>
            <w:r>
              <w:rPr>
                <w:lang w:val="fr-BE"/>
              </w:rPr>
              <w:lastRenderedPageBreak/>
              <w:t>L’on notera que le texte de l’article VI.91/5, 6°, du CDE ne vise pas les mandataires</w:t>
            </w:r>
            <w:r w:rsidR="00A944D5">
              <w:rPr>
                <w:rStyle w:val="Appelnotedebasdep"/>
                <w:lang w:val="fr-BE"/>
              </w:rPr>
              <w:footnoteReference w:id="33"/>
            </w:r>
            <w:r>
              <w:rPr>
                <w:lang w:val="fr-BE"/>
              </w:rPr>
              <w:t xml:space="preserve"> (par</w:t>
            </w:r>
            <w:r w:rsidR="003F1E33">
              <w:rPr>
                <w:lang w:val="fr-BE"/>
              </w:rPr>
              <w:t xml:space="preserve"> comparaison à l’article VI.83,</w:t>
            </w:r>
            <w:r>
              <w:rPr>
                <w:lang w:val="fr-BE"/>
              </w:rPr>
              <w:t xml:space="preserve">13°, du CDE). </w:t>
            </w:r>
            <w:r w:rsidR="00CE79A5">
              <w:rPr>
                <w:lang w:val="fr-BE"/>
              </w:rPr>
              <w:t xml:space="preserve">Il semblerait toutefois, à la </w:t>
            </w:r>
            <w:r>
              <w:rPr>
                <w:lang w:val="fr-BE"/>
              </w:rPr>
              <w:t xml:space="preserve">lecture des travaux préparatoires de la loi du 4 avril 2019, </w:t>
            </w:r>
            <w:r w:rsidR="00CE79A5">
              <w:rPr>
                <w:lang w:val="fr-BE"/>
              </w:rPr>
              <w:t>que ces derniers doivent être inclus dans le champ d’application de la disposition</w:t>
            </w:r>
            <w:r w:rsidR="00CE79A5">
              <w:rPr>
                <w:rStyle w:val="Appelnotedebasdep"/>
                <w:lang w:val="fr-BE"/>
              </w:rPr>
              <w:footnoteReference w:id="34"/>
            </w:r>
            <w:r w:rsidR="00CE79A5">
              <w:rPr>
                <w:lang w:val="fr-BE"/>
              </w:rPr>
              <w:t xml:space="preserve">. </w:t>
            </w:r>
          </w:p>
          <w:p w:rsidR="005B06F4" w:rsidRDefault="005B06F4" w:rsidP="00CE79A5">
            <w:pPr>
              <w:jc w:val="both"/>
              <w:rPr>
                <w:lang w:val="fr-BE"/>
              </w:rPr>
            </w:pPr>
          </w:p>
          <w:p w:rsidR="00CE79A5" w:rsidRDefault="003B4FD4">
            <w:pPr>
              <w:jc w:val="both"/>
              <w:rPr>
                <w:lang w:val="fr-BE"/>
              </w:rPr>
            </w:pPr>
            <w:r>
              <w:rPr>
                <w:lang w:val="fr-BE"/>
              </w:rPr>
              <w:t>La doctrine parait divisée sur la question de savoir si l’entreprise peut se libérer du dol ou de la faute lourde</w:t>
            </w:r>
            <w:r w:rsidR="007F6B50">
              <w:rPr>
                <w:lang w:val="fr-BE"/>
              </w:rPr>
              <w:t>/grave</w:t>
            </w:r>
            <w:r>
              <w:rPr>
                <w:lang w:val="fr-BE"/>
              </w:rPr>
              <w:t xml:space="preserve"> de ses </w:t>
            </w:r>
            <w:r>
              <w:rPr>
                <w:i/>
                <w:lang w:val="fr-BE"/>
              </w:rPr>
              <w:t>agents d’exécution</w:t>
            </w:r>
            <w:r w:rsidR="00A02BB9">
              <w:rPr>
                <w:i/>
                <w:lang w:val="fr-BE"/>
              </w:rPr>
              <w:t xml:space="preserve">, </w:t>
            </w:r>
            <w:r w:rsidR="00A02BB9">
              <w:rPr>
                <w:lang w:val="fr-BE"/>
              </w:rPr>
              <w:t>autres que préposés ou mandataires, par exemple, les sous-traitants</w:t>
            </w:r>
            <w:r>
              <w:rPr>
                <w:lang w:val="fr-BE"/>
              </w:rPr>
              <w:t xml:space="preserve">. </w:t>
            </w:r>
            <w:r w:rsidR="00A02BB9">
              <w:rPr>
                <w:lang w:val="fr-BE"/>
              </w:rPr>
              <w:t xml:space="preserve">Les agents d’exécution </w:t>
            </w:r>
            <w:r>
              <w:rPr>
                <w:lang w:val="fr-BE"/>
              </w:rPr>
              <w:t>ne sont en effet pas visés par le législateur et ils ne peuvent</w:t>
            </w:r>
            <w:r w:rsidR="00A02BB9">
              <w:rPr>
                <w:lang w:val="fr-BE"/>
              </w:rPr>
              <w:t xml:space="preserve"> </w:t>
            </w:r>
            <w:r>
              <w:rPr>
                <w:lang w:val="fr-BE"/>
              </w:rPr>
              <w:t>être considérés comme des préposés ou mandataires</w:t>
            </w:r>
            <w:r>
              <w:rPr>
                <w:rStyle w:val="Appelnotedebasdep"/>
                <w:lang w:val="fr-BE"/>
              </w:rPr>
              <w:footnoteReference w:id="35"/>
            </w:r>
            <w:r>
              <w:rPr>
                <w:lang w:val="fr-BE"/>
              </w:rPr>
              <w:t xml:space="preserve">. </w:t>
            </w:r>
          </w:p>
          <w:p w:rsidR="00A3740E" w:rsidRDefault="00A3740E">
            <w:pPr>
              <w:jc w:val="both"/>
              <w:rPr>
                <w:lang w:val="fr-BE"/>
              </w:rPr>
            </w:pPr>
          </w:p>
          <w:p w:rsidR="00A3740E" w:rsidRPr="003B4FD4" w:rsidRDefault="00A3740E">
            <w:pPr>
              <w:jc w:val="both"/>
              <w:rPr>
                <w:lang w:val="fr-BE"/>
              </w:rPr>
            </w:pPr>
            <w:r>
              <w:rPr>
                <w:lang w:val="fr-BE"/>
              </w:rPr>
              <w:lastRenderedPageBreak/>
              <w:t xml:space="preserve">Nous renvoyons le lecteur à la contribution de C.-E. Lambert et de R. </w:t>
            </w:r>
            <w:proofErr w:type="spellStart"/>
            <w:r>
              <w:rPr>
                <w:lang w:val="fr-BE"/>
              </w:rPr>
              <w:t>Thüngen</w:t>
            </w:r>
            <w:proofErr w:type="spellEnd"/>
            <w:r>
              <w:rPr>
                <w:lang w:val="fr-BE"/>
              </w:rPr>
              <w:t>, dans le présent ouvrage, sur les clauses d’inexécution.</w:t>
            </w:r>
          </w:p>
        </w:tc>
      </w:tr>
      <w:tr w:rsidR="00B06977" w:rsidRPr="00151932" w:rsidTr="00B06977">
        <w:tc>
          <w:tcPr>
            <w:tcW w:w="4248" w:type="dxa"/>
          </w:tcPr>
          <w:p w:rsidR="00B06977" w:rsidRDefault="00B06977" w:rsidP="00E7773C">
            <w:pPr>
              <w:jc w:val="both"/>
              <w:rPr>
                <w:lang w:val="fr-BE"/>
              </w:rPr>
            </w:pPr>
            <w:r>
              <w:rPr>
                <w:lang w:val="fr-BE"/>
              </w:rPr>
              <w:lastRenderedPageBreak/>
              <w:t>VI.83, 14°</w:t>
            </w:r>
            <w:r w:rsidR="00E05D52">
              <w:rPr>
                <w:lang w:val="fr-BE"/>
              </w:rPr>
              <w:t>, du CDE</w:t>
            </w:r>
            <w:r>
              <w:rPr>
                <w:lang w:val="fr-BE"/>
              </w:rPr>
              <w:t> : « </w:t>
            </w:r>
            <w:r w:rsidRPr="00D93303">
              <w:rPr>
                <w:i/>
                <w:lang w:val="fr-BE"/>
              </w:rPr>
              <w:t xml:space="preserve">supprimer ou diminuer la garantie légale en matière de vices cachés, prévue par les articles </w:t>
            </w:r>
            <w:r>
              <w:rPr>
                <w:i/>
                <w:lang w:val="fr-BE"/>
              </w:rPr>
              <w:t>1641 à 1649 du Code civil, ou l’</w:t>
            </w:r>
            <w:r w:rsidRPr="00D93303">
              <w:rPr>
                <w:i/>
                <w:lang w:val="fr-BE"/>
              </w:rPr>
              <w:t>ob</w:t>
            </w:r>
            <w:r>
              <w:rPr>
                <w:i/>
                <w:lang w:val="fr-BE"/>
              </w:rPr>
              <w:t>ligation légale de délivrance d’</w:t>
            </w:r>
            <w:r w:rsidRPr="00D93303">
              <w:rPr>
                <w:i/>
                <w:lang w:val="fr-BE"/>
              </w:rPr>
              <w:t>un bien conforme au contrat, prévue par les articles 1649bis à 1649octies du Code civil</w:t>
            </w:r>
            <w:r>
              <w:rPr>
                <w:lang w:val="fr-BE"/>
              </w:rPr>
              <w:t> »</w:t>
            </w:r>
          </w:p>
          <w:p w:rsidR="00B06977" w:rsidRDefault="00B06977" w:rsidP="00E7773C">
            <w:pPr>
              <w:jc w:val="both"/>
              <w:rPr>
                <w:lang w:val="fr-BE"/>
              </w:rPr>
            </w:pPr>
          </w:p>
          <w:p w:rsidR="00B06977" w:rsidRDefault="00B06977" w:rsidP="00E7773C">
            <w:pPr>
              <w:jc w:val="both"/>
              <w:rPr>
                <w:lang w:val="fr-BE"/>
              </w:rPr>
            </w:pPr>
            <w:r>
              <w:rPr>
                <w:lang w:val="fr-BE"/>
              </w:rPr>
              <w:t xml:space="preserve">Clause figurant dans la </w:t>
            </w:r>
            <w:r w:rsidRPr="00E7773C">
              <w:rPr>
                <w:b/>
                <w:lang w:val="fr-BE"/>
              </w:rPr>
              <w:t>liste noire</w:t>
            </w:r>
            <w:r>
              <w:rPr>
                <w:lang w:val="fr-BE"/>
              </w:rPr>
              <w:t>, abusive en toutes circonstances</w:t>
            </w:r>
          </w:p>
          <w:p w:rsidR="00B06977" w:rsidRDefault="00B06977" w:rsidP="00E7773C">
            <w:pPr>
              <w:jc w:val="both"/>
              <w:rPr>
                <w:lang w:val="fr-BE"/>
              </w:rPr>
            </w:pPr>
          </w:p>
          <w:p w:rsidR="00290D4E" w:rsidRPr="00525BB2" w:rsidRDefault="00290D4E" w:rsidP="00E7773C">
            <w:pPr>
              <w:jc w:val="both"/>
              <w:rPr>
                <w:i/>
                <w:lang w:val="fr-BE"/>
              </w:rPr>
            </w:pPr>
          </w:p>
        </w:tc>
        <w:tc>
          <w:tcPr>
            <w:tcW w:w="4252" w:type="dxa"/>
          </w:tcPr>
          <w:p w:rsidR="00B06977" w:rsidRPr="006B2067" w:rsidRDefault="00B06977" w:rsidP="006B2067">
            <w:pPr>
              <w:jc w:val="both"/>
              <w:rPr>
                <w:lang w:val="fr-BE"/>
              </w:rPr>
            </w:pPr>
          </w:p>
        </w:tc>
        <w:tc>
          <w:tcPr>
            <w:tcW w:w="4395" w:type="dxa"/>
          </w:tcPr>
          <w:p w:rsidR="00B06977" w:rsidRDefault="00B06977" w:rsidP="00EA1DAF">
            <w:pPr>
              <w:jc w:val="both"/>
              <w:rPr>
                <w:lang w:val="fr-BE"/>
              </w:rPr>
            </w:pPr>
            <w:r>
              <w:rPr>
                <w:lang w:val="fr-BE"/>
              </w:rPr>
              <w:t>Nous n’aborderons, ci-dessous, que les clauses relatives à la garantie des vices cachés, telle que régie par les articles 1641 à 1649 du Code civil.</w:t>
            </w:r>
          </w:p>
          <w:p w:rsidR="00B06977" w:rsidRDefault="00B06977" w:rsidP="00543603">
            <w:pPr>
              <w:jc w:val="both"/>
              <w:rPr>
                <w:lang w:val="fr-BE"/>
              </w:rPr>
            </w:pPr>
            <w:r>
              <w:rPr>
                <w:lang w:val="fr-BE"/>
              </w:rPr>
              <w:t xml:space="preserve">L’article VI.83, 14° exclut toutes les stipulations qui, d’une manière ou d’une autre, restreignent la protection prévue par les dispositions précitées du Code civil. Sont partant interdites et nulles les clauses qui suppriment la garantie des vices cachés mais aussi celles qui en réduisent la durée ou la portée. De même, les clauses prévoyant que l’acheteur prendra à sa charge une série de risques potentiels (pollution du sol, présence de mérule, infraction urbanistique) </w:t>
            </w:r>
            <w:r w:rsidR="00A02BB9">
              <w:rPr>
                <w:lang w:val="fr-BE"/>
              </w:rPr>
              <w:t>peuven</w:t>
            </w:r>
            <w:r>
              <w:rPr>
                <w:lang w:val="fr-BE"/>
              </w:rPr>
              <w:t>t également tomber sous le coup de l’interdiction visée par l’article VI.83, 14° du CDE</w:t>
            </w:r>
            <w:r>
              <w:rPr>
                <w:rStyle w:val="Appelnotedebasdep"/>
                <w:lang w:val="fr-BE"/>
              </w:rPr>
              <w:footnoteReference w:id="36"/>
            </w:r>
            <w:r>
              <w:rPr>
                <w:lang w:val="fr-BE"/>
              </w:rPr>
              <w:t>.</w:t>
            </w:r>
          </w:p>
          <w:p w:rsidR="00B06977" w:rsidRDefault="00B06977" w:rsidP="00D43DA2">
            <w:pPr>
              <w:jc w:val="both"/>
              <w:rPr>
                <w:lang w:val="fr-BE"/>
              </w:rPr>
            </w:pPr>
            <w:r>
              <w:rPr>
                <w:lang w:val="fr-BE"/>
              </w:rPr>
              <w:t xml:space="preserve">La disposition du CDE est plus protectrice que le droit commun dans la mesure où la clause limitative ou exonératoire de garantie est illicite même si le vendeur parvient à établir son ignorance invincible </w:t>
            </w:r>
            <w:r>
              <w:rPr>
                <w:lang w:val="fr-BE"/>
              </w:rPr>
              <w:lastRenderedPageBreak/>
              <w:t>(c’est-à-dire qu’il réussit à démontrer que le vice était indécelable)</w:t>
            </w:r>
            <w:r>
              <w:rPr>
                <w:rStyle w:val="Appelnotedebasdep"/>
                <w:lang w:val="fr-BE"/>
              </w:rPr>
              <w:footnoteReference w:id="37"/>
            </w:r>
            <w:r>
              <w:rPr>
                <w:lang w:val="fr-BE"/>
              </w:rPr>
              <w:t>.</w:t>
            </w:r>
          </w:p>
          <w:p w:rsidR="00B06977" w:rsidRDefault="00A02BB9" w:rsidP="00D43DA2">
            <w:pPr>
              <w:jc w:val="both"/>
              <w:rPr>
                <w:lang w:val="fr-BE"/>
              </w:rPr>
            </w:pPr>
            <w:r w:rsidRPr="00525BB2">
              <w:rPr>
                <w:b/>
                <w:lang w:val="fr-BE"/>
              </w:rPr>
              <w:t>(B2B)</w:t>
            </w:r>
            <w:r>
              <w:rPr>
                <w:lang w:val="fr-BE"/>
              </w:rPr>
              <w:t xml:space="preserve"> </w:t>
            </w:r>
            <w:r w:rsidR="00B06977">
              <w:rPr>
                <w:lang w:val="fr-BE"/>
              </w:rPr>
              <w:t>Relevons, par ailleurs, qu’il n’existe pas, pour ce qui concerne les relations B2B, de disposition équivalente à l’article VI.83, 14°, du CDE. Toujours est-il que les clauses limitatives et exonératoires pourraient, dans cette hypothèse (contrats B2B), être examinées à l’aune de l’article VI.91/5, 4°</w:t>
            </w:r>
            <w:r w:rsidR="00F37D85">
              <w:rPr>
                <w:lang w:val="fr-BE"/>
              </w:rPr>
              <w:t xml:space="preserve"> (</w:t>
            </w:r>
            <w:r w:rsidR="00B06977">
              <w:rPr>
                <w:lang w:val="fr-BE"/>
              </w:rPr>
              <w:t>disposition « fourre-tout »).</w:t>
            </w:r>
            <w:r w:rsidR="003D4FEE">
              <w:rPr>
                <w:lang w:val="fr-BE"/>
              </w:rPr>
              <w:t xml:space="preserve"> Toujours dans le cadre des relations B2B</w:t>
            </w:r>
            <w:r w:rsidR="00B06977">
              <w:rPr>
                <w:lang w:val="fr-BE"/>
              </w:rPr>
              <w:t xml:space="preserve">, il importe de préciser que l’exclusion de la  garantie pour les vices cachés </w:t>
            </w:r>
            <w:r w:rsidR="00B06977" w:rsidRPr="000633FF">
              <w:rPr>
                <w:i/>
                <w:lang w:val="fr-BE"/>
              </w:rPr>
              <w:t>indécelables</w:t>
            </w:r>
            <w:r w:rsidR="00B06977">
              <w:rPr>
                <w:lang w:val="fr-BE"/>
              </w:rPr>
              <w:t xml:space="preserve"> semble valide dès lors qu’elle ne constitue pas une exclusion ou limitation inappropriée des droits légaux de l’autre partie</w:t>
            </w:r>
            <w:r w:rsidR="00B06977">
              <w:rPr>
                <w:rStyle w:val="Appelnotedebasdep"/>
                <w:lang w:val="fr-BE"/>
              </w:rPr>
              <w:footnoteReference w:id="38"/>
            </w:r>
            <w:r w:rsidR="00B06977">
              <w:rPr>
                <w:lang w:val="fr-BE"/>
              </w:rPr>
              <w:t xml:space="preserve">.  </w:t>
            </w:r>
          </w:p>
          <w:p w:rsidR="00B06977" w:rsidRDefault="00B06977" w:rsidP="001208A9">
            <w:pPr>
              <w:jc w:val="both"/>
              <w:rPr>
                <w:lang w:val="fr-BE"/>
              </w:rPr>
            </w:pPr>
            <w:r>
              <w:rPr>
                <w:lang w:val="fr-BE"/>
              </w:rPr>
              <w:t xml:space="preserve">La clause </w:t>
            </w:r>
            <w:r w:rsidRPr="003A2B19">
              <w:rPr>
                <w:lang w:val="fr-BE"/>
              </w:rPr>
              <w:t xml:space="preserve">déterminant la durée du bref délai (cf. art. 1648 C. civ.) n’est, en principe, pas considérée comme une clause restrictive de la garantie des </w:t>
            </w:r>
            <w:r w:rsidRPr="00525BB2">
              <w:rPr>
                <w:lang w:val="fr-BE"/>
              </w:rPr>
              <w:t>vices cachés</w:t>
            </w:r>
            <w:r w:rsidRPr="00525BB2">
              <w:rPr>
                <w:rStyle w:val="Appelnotedebasdep"/>
                <w:lang w:val="fr-BE"/>
              </w:rPr>
              <w:footnoteReference w:id="39"/>
            </w:r>
            <w:r w:rsidRPr="00525BB2">
              <w:rPr>
                <w:lang w:val="fr-BE"/>
              </w:rPr>
              <w:t>. Néanmoins</w:t>
            </w:r>
            <w:r>
              <w:rPr>
                <w:lang w:val="fr-BE"/>
              </w:rPr>
              <w:t xml:space="preserve"> la </w:t>
            </w:r>
            <w:r>
              <w:rPr>
                <w:lang w:val="fr-BE"/>
              </w:rPr>
              <w:lastRenderedPageBreak/>
              <w:t>stipulation pourrait être entachée de nullité si le délai conventionnellement fixé est jugé déraisonnable</w:t>
            </w:r>
            <w:r w:rsidR="000800E1">
              <w:rPr>
                <w:lang w:val="fr-BE"/>
              </w:rPr>
              <w:t>ment court</w:t>
            </w:r>
            <w:r>
              <w:rPr>
                <w:rStyle w:val="Appelnotedebasdep"/>
                <w:lang w:val="fr-BE"/>
              </w:rPr>
              <w:footnoteReference w:id="40"/>
            </w:r>
            <w:r>
              <w:rPr>
                <w:lang w:val="fr-BE"/>
              </w:rPr>
              <w:t xml:space="preserve">. </w:t>
            </w:r>
          </w:p>
          <w:p w:rsidR="00A3740E" w:rsidRDefault="00A3740E" w:rsidP="001208A9">
            <w:pPr>
              <w:jc w:val="both"/>
              <w:rPr>
                <w:lang w:val="fr-BE"/>
              </w:rPr>
            </w:pPr>
          </w:p>
          <w:p w:rsidR="00A3740E" w:rsidRDefault="00A3740E" w:rsidP="001208A9">
            <w:pPr>
              <w:jc w:val="both"/>
              <w:rPr>
                <w:lang w:val="fr-BE"/>
              </w:rPr>
            </w:pPr>
            <w:r>
              <w:rPr>
                <w:lang w:val="fr-BE"/>
              </w:rPr>
              <w:t xml:space="preserve">Nous renvoyons le lecteur à la contribution de C.-E. Lambert et de R. </w:t>
            </w:r>
            <w:proofErr w:type="spellStart"/>
            <w:r>
              <w:rPr>
                <w:lang w:val="fr-BE"/>
              </w:rPr>
              <w:t>Thüngen</w:t>
            </w:r>
            <w:proofErr w:type="spellEnd"/>
            <w:r>
              <w:rPr>
                <w:lang w:val="fr-BE"/>
              </w:rPr>
              <w:t>, dans le présent ouvrage, sur les clauses d’inexécution.</w:t>
            </w:r>
          </w:p>
        </w:tc>
      </w:tr>
      <w:tr w:rsidR="00B06977" w:rsidRPr="00151932" w:rsidTr="00B06977">
        <w:tc>
          <w:tcPr>
            <w:tcW w:w="4248" w:type="dxa"/>
          </w:tcPr>
          <w:p w:rsidR="00B06977" w:rsidRDefault="00B06977" w:rsidP="00E7773C">
            <w:pPr>
              <w:jc w:val="both"/>
              <w:rPr>
                <w:lang w:val="fr-BE"/>
              </w:rPr>
            </w:pPr>
            <w:r>
              <w:rPr>
                <w:lang w:val="fr-BE"/>
              </w:rPr>
              <w:lastRenderedPageBreak/>
              <w:t>VI.83, 15°</w:t>
            </w:r>
            <w:r w:rsidR="00E05D52">
              <w:rPr>
                <w:lang w:val="fr-BE"/>
              </w:rPr>
              <w:t>, du CDE</w:t>
            </w:r>
            <w:r>
              <w:rPr>
                <w:lang w:val="fr-BE"/>
              </w:rPr>
              <w:t> : « </w:t>
            </w:r>
            <w:r w:rsidRPr="00546BBD">
              <w:rPr>
                <w:i/>
                <w:lang w:val="fr-BE"/>
              </w:rPr>
              <w:t>fixer un délai déraisonna</w:t>
            </w:r>
            <w:r>
              <w:rPr>
                <w:i/>
                <w:lang w:val="fr-BE"/>
              </w:rPr>
              <w:t>blement court pour signaler à l’</w:t>
            </w:r>
            <w:r w:rsidRPr="00546BBD">
              <w:rPr>
                <w:i/>
                <w:lang w:val="fr-BE"/>
              </w:rPr>
              <w:t>entreprise des défauts dans le produit livré</w:t>
            </w:r>
            <w:r>
              <w:rPr>
                <w:lang w:val="fr-BE"/>
              </w:rPr>
              <w:t> »</w:t>
            </w:r>
          </w:p>
          <w:p w:rsidR="00B06977" w:rsidRDefault="00B06977" w:rsidP="00E7773C">
            <w:pPr>
              <w:jc w:val="both"/>
              <w:rPr>
                <w:lang w:val="fr-BE"/>
              </w:rPr>
            </w:pPr>
          </w:p>
          <w:p w:rsidR="00B06977" w:rsidRDefault="00B06977" w:rsidP="00E7773C">
            <w:pPr>
              <w:jc w:val="both"/>
              <w:rPr>
                <w:lang w:val="fr-BE"/>
              </w:rPr>
            </w:pPr>
            <w:r>
              <w:rPr>
                <w:lang w:val="fr-BE"/>
              </w:rPr>
              <w:lastRenderedPageBreak/>
              <w:t xml:space="preserve">Clause figurant dans la </w:t>
            </w:r>
            <w:r w:rsidRPr="00E7773C">
              <w:rPr>
                <w:b/>
                <w:lang w:val="fr-BE"/>
              </w:rPr>
              <w:t>liste noire</w:t>
            </w:r>
            <w:r>
              <w:rPr>
                <w:lang w:val="fr-BE"/>
              </w:rPr>
              <w:t>, abusive en toutes circonstances</w:t>
            </w:r>
          </w:p>
          <w:p w:rsidR="00290D4E" w:rsidRDefault="00290D4E" w:rsidP="00E7773C">
            <w:pPr>
              <w:jc w:val="both"/>
              <w:rPr>
                <w:lang w:val="fr-BE"/>
              </w:rPr>
            </w:pPr>
          </w:p>
          <w:p w:rsidR="00290D4E" w:rsidRPr="00525BB2" w:rsidRDefault="00290D4E" w:rsidP="00E7773C">
            <w:pPr>
              <w:jc w:val="both"/>
              <w:rPr>
                <w:i/>
                <w:lang w:val="fr-BE"/>
              </w:rPr>
            </w:pPr>
          </w:p>
        </w:tc>
        <w:tc>
          <w:tcPr>
            <w:tcW w:w="4252" w:type="dxa"/>
          </w:tcPr>
          <w:p w:rsidR="00B06977" w:rsidRDefault="00B06977" w:rsidP="00E7773C">
            <w:pPr>
              <w:jc w:val="both"/>
              <w:rPr>
                <w:lang w:val="fr-BE"/>
              </w:rPr>
            </w:pPr>
          </w:p>
        </w:tc>
        <w:tc>
          <w:tcPr>
            <w:tcW w:w="4395" w:type="dxa"/>
          </w:tcPr>
          <w:p w:rsidR="00B06977" w:rsidRDefault="00B06977" w:rsidP="00E7773C">
            <w:pPr>
              <w:jc w:val="both"/>
              <w:rPr>
                <w:lang w:val="fr-BE"/>
              </w:rPr>
            </w:pPr>
            <w:r>
              <w:rPr>
                <w:lang w:val="fr-BE"/>
              </w:rPr>
              <w:t>Le terme « produit » indique que la disposition est notamment applicable à la vente d’immeubles</w:t>
            </w:r>
            <w:r w:rsidR="004E2AF3">
              <w:rPr>
                <w:rStyle w:val="Appelnotedebasdep"/>
                <w:lang w:val="fr-BE"/>
              </w:rPr>
              <w:footnoteReference w:id="41"/>
            </w:r>
            <w:r>
              <w:rPr>
                <w:lang w:val="fr-BE"/>
              </w:rPr>
              <w:t xml:space="preserve">. </w:t>
            </w:r>
          </w:p>
          <w:p w:rsidR="00B06977" w:rsidRDefault="00B06977" w:rsidP="00E7773C">
            <w:pPr>
              <w:jc w:val="both"/>
              <w:rPr>
                <w:lang w:val="fr-BE"/>
              </w:rPr>
            </w:pPr>
          </w:p>
          <w:p w:rsidR="00B06977" w:rsidRDefault="00B06977" w:rsidP="00E7773C">
            <w:pPr>
              <w:jc w:val="both"/>
              <w:rPr>
                <w:lang w:val="fr-BE"/>
              </w:rPr>
            </w:pPr>
            <w:r>
              <w:rPr>
                <w:lang w:val="fr-BE"/>
              </w:rPr>
              <w:t xml:space="preserve">Le vocable « défauts » désigne tant les vices cachés que </w:t>
            </w:r>
            <w:r w:rsidRPr="00525BB2">
              <w:rPr>
                <w:lang w:val="fr-BE"/>
              </w:rPr>
              <w:t>les vices apparents</w:t>
            </w:r>
            <w:r w:rsidR="008D5C89" w:rsidRPr="00525BB2">
              <w:rPr>
                <w:rStyle w:val="Appelnotedebasdep"/>
                <w:lang w:val="fr-BE"/>
              </w:rPr>
              <w:footnoteReference w:id="42"/>
            </w:r>
            <w:r w:rsidRPr="00525BB2">
              <w:rPr>
                <w:lang w:val="fr-BE"/>
              </w:rPr>
              <w:t>.</w:t>
            </w:r>
            <w:r>
              <w:rPr>
                <w:lang w:val="fr-BE"/>
              </w:rPr>
              <w:t xml:space="preserve"> </w:t>
            </w:r>
          </w:p>
          <w:p w:rsidR="00B06977" w:rsidRDefault="00B06977" w:rsidP="00F1321F">
            <w:pPr>
              <w:jc w:val="both"/>
              <w:rPr>
                <w:lang w:val="fr-BE"/>
              </w:rPr>
            </w:pPr>
            <w:r w:rsidRPr="00A30D97">
              <w:rPr>
                <w:lang w:val="fr-BE"/>
              </w:rPr>
              <w:lastRenderedPageBreak/>
              <w:t>Le caractère déraisonnablement court ou non du délai laissé au consommateur pour</w:t>
            </w:r>
            <w:r>
              <w:rPr>
                <w:lang w:val="fr-BE"/>
              </w:rPr>
              <w:t xml:space="preserve"> </w:t>
            </w:r>
            <w:r w:rsidRPr="00A30D97">
              <w:rPr>
                <w:lang w:val="fr-BE"/>
              </w:rPr>
              <w:t xml:space="preserve">signaler à l’entreprise des défauts dans le produit livré relève de l’appréciation </w:t>
            </w:r>
            <w:r>
              <w:rPr>
                <w:lang w:val="fr-BE"/>
              </w:rPr>
              <w:t xml:space="preserve"> </w:t>
            </w:r>
            <w:r w:rsidRPr="00A30D97">
              <w:rPr>
                <w:lang w:val="fr-BE"/>
              </w:rPr>
              <w:t>du juge</w:t>
            </w:r>
            <w:r>
              <w:rPr>
                <w:lang w:val="fr-BE"/>
              </w:rPr>
              <w:t>. Il convient toutefois de tenir compte, le cas échant, de législations particulières qui prévoient un délai minimal pour signaler le défaut et limitent, de la sorte, le pouvoir d’appréciation du juge (</w:t>
            </w:r>
            <w:proofErr w:type="spellStart"/>
            <w:r>
              <w:rPr>
                <w:lang w:val="fr-BE"/>
              </w:rPr>
              <w:t>voy</w:t>
            </w:r>
            <w:proofErr w:type="spellEnd"/>
            <w:r>
              <w:rPr>
                <w:lang w:val="fr-BE"/>
              </w:rPr>
              <w:t xml:space="preserve">. par ex. le délai de dénonciation de minimum 2 mois, visé à l’article </w:t>
            </w:r>
            <w:r w:rsidRPr="00E95CB7">
              <w:rPr>
                <w:lang w:val="fr-BE"/>
              </w:rPr>
              <w:t>1649</w:t>
            </w:r>
            <w:r w:rsidRPr="00E95CB7">
              <w:rPr>
                <w:i/>
                <w:lang w:val="fr-BE"/>
              </w:rPr>
              <w:t>quater</w:t>
            </w:r>
            <w:r>
              <w:rPr>
                <w:lang w:val="fr-BE"/>
              </w:rPr>
              <w:t xml:space="preserve">, §2, du Code civil, </w:t>
            </w:r>
            <w:r w:rsidRPr="00E95CB7">
              <w:rPr>
                <w:lang w:val="fr-BE"/>
              </w:rPr>
              <w:t>en</w:t>
            </w:r>
            <w:r>
              <w:rPr>
                <w:lang w:val="fr-BE"/>
              </w:rPr>
              <w:t xml:space="preserve"> matière de vente d’un bien de consommation)</w:t>
            </w:r>
            <w:r w:rsidRPr="00A30D97">
              <w:rPr>
                <w:lang w:val="fr-BE"/>
              </w:rPr>
              <w:t>.</w:t>
            </w:r>
          </w:p>
          <w:p w:rsidR="00A3740E" w:rsidRDefault="00A3740E" w:rsidP="00F1321F">
            <w:pPr>
              <w:jc w:val="both"/>
              <w:rPr>
                <w:lang w:val="fr-BE"/>
              </w:rPr>
            </w:pPr>
          </w:p>
          <w:p w:rsidR="00A3740E" w:rsidRPr="00EA1DAF" w:rsidRDefault="00A3740E" w:rsidP="00F1321F">
            <w:pPr>
              <w:jc w:val="both"/>
              <w:rPr>
                <w:lang w:val="fr-BE"/>
              </w:rPr>
            </w:pPr>
            <w:r>
              <w:rPr>
                <w:lang w:val="fr-BE"/>
              </w:rPr>
              <w:t xml:space="preserve">Nous renvoyons le lecteur à la contribution de C.-E. Lambert et de R. </w:t>
            </w:r>
            <w:proofErr w:type="spellStart"/>
            <w:r>
              <w:rPr>
                <w:lang w:val="fr-BE"/>
              </w:rPr>
              <w:t>Thüngen</w:t>
            </w:r>
            <w:proofErr w:type="spellEnd"/>
            <w:r>
              <w:rPr>
                <w:lang w:val="fr-BE"/>
              </w:rPr>
              <w:t>, dans le présent ouvrage, sur les clauses d’inexécution.</w:t>
            </w:r>
          </w:p>
        </w:tc>
      </w:tr>
      <w:tr w:rsidR="00B06977" w:rsidRPr="00151932" w:rsidTr="00B06977">
        <w:tc>
          <w:tcPr>
            <w:tcW w:w="4248" w:type="dxa"/>
          </w:tcPr>
          <w:p w:rsidR="00B06977" w:rsidRDefault="00B06977" w:rsidP="00E7773C">
            <w:pPr>
              <w:jc w:val="both"/>
              <w:rPr>
                <w:lang w:val="fr-BE"/>
              </w:rPr>
            </w:pPr>
            <w:r>
              <w:rPr>
                <w:lang w:val="fr-BE"/>
              </w:rPr>
              <w:lastRenderedPageBreak/>
              <w:t>VI.83, 16°</w:t>
            </w:r>
            <w:r w:rsidR="00E05D52">
              <w:rPr>
                <w:lang w:val="fr-BE"/>
              </w:rPr>
              <w:t>, du CDE</w:t>
            </w:r>
            <w:r>
              <w:rPr>
                <w:lang w:val="fr-BE"/>
              </w:rPr>
              <w:t> : « </w:t>
            </w:r>
            <w:r w:rsidRPr="00FB30E6">
              <w:rPr>
                <w:i/>
                <w:lang w:val="fr-BE"/>
              </w:rPr>
              <w:t>interdire au consommateur</w:t>
            </w:r>
            <w:r>
              <w:rPr>
                <w:i/>
                <w:lang w:val="fr-BE"/>
              </w:rPr>
              <w:t xml:space="preserve"> de compenser sa dette envers l’entreprise par une créance qu’</w:t>
            </w:r>
            <w:r w:rsidRPr="00FB30E6">
              <w:rPr>
                <w:i/>
                <w:lang w:val="fr-BE"/>
              </w:rPr>
              <w:t>il aurait sur elle</w:t>
            </w:r>
            <w:r>
              <w:rPr>
                <w:lang w:val="fr-BE"/>
              </w:rPr>
              <w:t> »</w:t>
            </w:r>
          </w:p>
          <w:p w:rsidR="00B06977" w:rsidRDefault="00B06977" w:rsidP="00E7773C">
            <w:pPr>
              <w:jc w:val="both"/>
              <w:rPr>
                <w:lang w:val="fr-BE"/>
              </w:rPr>
            </w:pPr>
          </w:p>
          <w:p w:rsidR="00B06977" w:rsidRDefault="00B06977" w:rsidP="00E7773C">
            <w:pPr>
              <w:jc w:val="both"/>
              <w:rPr>
                <w:lang w:val="fr-BE"/>
              </w:rPr>
            </w:pPr>
            <w:r>
              <w:rPr>
                <w:lang w:val="fr-BE"/>
              </w:rPr>
              <w:t xml:space="preserve">Clause figurant dans la </w:t>
            </w:r>
            <w:r w:rsidRPr="00E7773C">
              <w:rPr>
                <w:b/>
                <w:lang w:val="fr-BE"/>
              </w:rPr>
              <w:t>liste noire</w:t>
            </w:r>
            <w:r>
              <w:rPr>
                <w:lang w:val="fr-BE"/>
              </w:rPr>
              <w:t>, abusive en toutes circonstances</w:t>
            </w:r>
          </w:p>
          <w:p w:rsidR="00290D4E" w:rsidRDefault="00290D4E" w:rsidP="00E7773C">
            <w:pPr>
              <w:jc w:val="both"/>
              <w:rPr>
                <w:lang w:val="fr-BE"/>
              </w:rPr>
            </w:pPr>
          </w:p>
          <w:p w:rsidR="00290D4E" w:rsidRPr="00525BB2" w:rsidRDefault="00290D4E" w:rsidP="00E7773C">
            <w:pPr>
              <w:jc w:val="both"/>
              <w:rPr>
                <w:i/>
                <w:lang w:val="fr-BE"/>
              </w:rPr>
            </w:pPr>
          </w:p>
        </w:tc>
        <w:tc>
          <w:tcPr>
            <w:tcW w:w="4252" w:type="dxa"/>
          </w:tcPr>
          <w:p w:rsidR="00B06977" w:rsidRDefault="00B06977" w:rsidP="00E7773C">
            <w:pPr>
              <w:jc w:val="both"/>
              <w:rPr>
                <w:lang w:val="fr-BE"/>
              </w:rPr>
            </w:pPr>
          </w:p>
        </w:tc>
        <w:tc>
          <w:tcPr>
            <w:tcW w:w="4395" w:type="dxa"/>
          </w:tcPr>
          <w:p w:rsidR="00B06977" w:rsidRDefault="00B06977" w:rsidP="00467BC8">
            <w:pPr>
              <w:jc w:val="both"/>
              <w:rPr>
                <w:lang w:val="fr-BE"/>
              </w:rPr>
            </w:pPr>
            <w:r w:rsidRPr="00FB30E6">
              <w:rPr>
                <w:lang w:val="fr-BE"/>
              </w:rPr>
              <w:t>En vertu du droit commun des obligations (art. 1289 et s. C. civ.), la compensation</w:t>
            </w:r>
            <w:r>
              <w:rPr>
                <w:lang w:val="fr-BE"/>
              </w:rPr>
              <w:t xml:space="preserve"> </w:t>
            </w:r>
            <w:r w:rsidRPr="00FB30E6">
              <w:rPr>
                <w:lang w:val="fr-BE"/>
              </w:rPr>
              <w:t>légale opère de plein droit lorsqu’il existe entre deux personnes, agissant en la même</w:t>
            </w:r>
            <w:r>
              <w:rPr>
                <w:lang w:val="fr-BE"/>
              </w:rPr>
              <w:t xml:space="preserve"> </w:t>
            </w:r>
            <w:r w:rsidRPr="00FB30E6">
              <w:rPr>
                <w:lang w:val="fr-BE"/>
              </w:rPr>
              <w:t>qualité, des créances réciproques, fongibles, liquides et exigibles.</w:t>
            </w:r>
          </w:p>
          <w:p w:rsidR="00B06977" w:rsidRDefault="00B06977" w:rsidP="00FB30E6">
            <w:pPr>
              <w:jc w:val="both"/>
              <w:rPr>
                <w:lang w:val="fr-BE"/>
              </w:rPr>
            </w:pPr>
          </w:p>
          <w:p w:rsidR="00B06977" w:rsidRDefault="00B06977" w:rsidP="000C1903">
            <w:pPr>
              <w:jc w:val="both"/>
              <w:rPr>
                <w:lang w:val="fr-BE"/>
              </w:rPr>
            </w:pPr>
            <w:r>
              <w:rPr>
                <w:lang w:val="fr-BE"/>
              </w:rPr>
              <w:lastRenderedPageBreak/>
              <w:t>Le mécanisme de la compensation n’est ni impératif ni d’ordre public, de sorte qu’il est possible d’y déroger</w:t>
            </w:r>
            <w:r w:rsidR="00673E18">
              <w:rPr>
                <w:rStyle w:val="Appelnotedebasdep"/>
                <w:lang w:val="fr-BE"/>
              </w:rPr>
              <w:footnoteReference w:id="43"/>
            </w:r>
            <w:r>
              <w:rPr>
                <w:lang w:val="fr-BE"/>
              </w:rPr>
              <w:t>. L’article VI.83, 16°</w:t>
            </w:r>
            <w:r w:rsidR="00476A44">
              <w:rPr>
                <w:lang w:val="fr-BE"/>
              </w:rPr>
              <w:t>,</w:t>
            </w:r>
            <w:r>
              <w:rPr>
                <w:lang w:val="fr-BE"/>
              </w:rPr>
              <w:t xml:space="preserve"> du CDE vise toutefois à prohiber les clauses qui interdisent au consommateur de se prévaloir de la compensation.</w:t>
            </w:r>
          </w:p>
          <w:p w:rsidR="00B06977" w:rsidRDefault="00B06977" w:rsidP="00F67BE4">
            <w:pPr>
              <w:jc w:val="both"/>
              <w:rPr>
                <w:lang w:val="fr-BE"/>
              </w:rPr>
            </w:pPr>
            <w:r>
              <w:rPr>
                <w:lang w:val="fr-BE"/>
              </w:rPr>
              <w:t>Ainsi</w:t>
            </w:r>
            <w:r w:rsidR="000800E1">
              <w:rPr>
                <w:lang w:val="fr-BE"/>
              </w:rPr>
              <w:t>,</w:t>
            </w:r>
            <w:r>
              <w:rPr>
                <w:lang w:val="fr-BE"/>
              </w:rPr>
              <w:t xml:space="preserve"> la Cour d’appel de Liège</w:t>
            </w:r>
            <w:r>
              <w:rPr>
                <w:rStyle w:val="Appelnotedebasdep"/>
                <w:lang w:val="fr-BE"/>
              </w:rPr>
              <w:footnoteReference w:id="44"/>
            </w:r>
            <w:r>
              <w:rPr>
                <w:lang w:val="fr-BE"/>
              </w:rPr>
              <w:t xml:space="preserve"> a considéré comme abusive la clause qui permettait à une banque de « </w:t>
            </w:r>
            <w:r w:rsidRPr="001369AF">
              <w:rPr>
                <w:i/>
                <w:lang w:val="fr-BE"/>
              </w:rPr>
              <w:t xml:space="preserve">détermine[r] </w:t>
            </w:r>
            <w:r w:rsidRPr="001369AF">
              <w:rPr>
                <w:lang w:val="fr-BE"/>
              </w:rPr>
              <w:t>à son gré</w:t>
            </w:r>
            <w:r w:rsidRPr="001369AF">
              <w:rPr>
                <w:i/>
                <w:lang w:val="fr-BE"/>
              </w:rPr>
              <w:t xml:space="preserve"> sur quelles créances respectives la compensation portera</w:t>
            </w:r>
            <w:r>
              <w:rPr>
                <w:lang w:val="fr-BE"/>
              </w:rPr>
              <w:t> » (nous soulignons). En effet, il a été jugé qu’</w:t>
            </w:r>
            <w:r w:rsidRPr="00F67BE4">
              <w:rPr>
                <w:lang w:val="fr-BE"/>
              </w:rPr>
              <w:t>en s’arrogeant le droit de choisir</w:t>
            </w:r>
            <w:r>
              <w:rPr>
                <w:lang w:val="fr-BE"/>
              </w:rPr>
              <w:t xml:space="preserve"> </w:t>
            </w:r>
            <w:r w:rsidRPr="00F67BE4">
              <w:rPr>
                <w:lang w:val="fr-BE"/>
              </w:rPr>
              <w:t xml:space="preserve">quelles créances elle compensera, </w:t>
            </w:r>
            <w:r>
              <w:rPr>
                <w:lang w:val="fr-BE"/>
              </w:rPr>
              <w:t xml:space="preserve">la banque </w:t>
            </w:r>
            <w:r w:rsidR="00476A44">
              <w:rPr>
                <w:lang w:val="fr-BE"/>
              </w:rPr>
              <w:t>« interdit »</w:t>
            </w:r>
            <w:r w:rsidRPr="00F67BE4">
              <w:rPr>
                <w:lang w:val="fr-BE"/>
              </w:rPr>
              <w:t>, de ce fait,</w:t>
            </w:r>
            <w:r>
              <w:rPr>
                <w:lang w:val="fr-BE"/>
              </w:rPr>
              <w:t xml:space="preserve"> </w:t>
            </w:r>
            <w:r w:rsidRPr="00F67BE4">
              <w:rPr>
                <w:lang w:val="fr-BE"/>
              </w:rPr>
              <w:t>au consommateur de compenser une dette envers l</w:t>
            </w:r>
            <w:r w:rsidR="00673E18">
              <w:rPr>
                <w:lang w:val="fr-BE"/>
              </w:rPr>
              <w:t xml:space="preserve">’entreprise </w:t>
            </w:r>
            <w:r w:rsidRPr="00F67BE4">
              <w:rPr>
                <w:lang w:val="fr-BE"/>
              </w:rPr>
              <w:t>avec u</w:t>
            </w:r>
            <w:r>
              <w:rPr>
                <w:lang w:val="fr-BE"/>
              </w:rPr>
              <w:t>ne créance q</w:t>
            </w:r>
            <w:r w:rsidR="00FE7128">
              <w:rPr>
                <w:lang w:val="fr-BE"/>
              </w:rPr>
              <w:t xml:space="preserve">ue cette dernière </w:t>
            </w:r>
            <w:r>
              <w:rPr>
                <w:lang w:val="fr-BE"/>
              </w:rPr>
              <w:t>aurait sur lui.</w:t>
            </w:r>
          </w:p>
          <w:p w:rsidR="00B06977" w:rsidRDefault="00B06977" w:rsidP="00F67BE4">
            <w:pPr>
              <w:jc w:val="both"/>
              <w:rPr>
                <w:lang w:val="fr-BE"/>
              </w:rPr>
            </w:pPr>
          </w:p>
          <w:p w:rsidR="00B06977" w:rsidRDefault="00B06977" w:rsidP="00E95CB7">
            <w:pPr>
              <w:jc w:val="both"/>
              <w:rPr>
                <w:lang w:val="fr-BE"/>
              </w:rPr>
            </w:pPr>
            <w:r>
              <w:rPr>
                <w:lang w:val="fr-BE"/>
              </w:rPr>
              <w:t xml:space="preserve">De même, dans un contrat de vente sur plan, il ne pourrait être admis que la créance de l’acquéreur, en raison des malfaçons constatées lors de la réception de l’ouvrage, et donnant lieu à moins-value (par exemple parce que ces défauts ne sont pas raisonnablement réparables en nature), ne puisse être compensée avec le solde du prix </w:t>
            </w:r>
            <w:r>
              <w:rPr>
                <w:lang w:val="fr-BE"/>
              </w:rPr>
              <w:lastRenderedPageBreak/>
              <w:t>que l’acquéreur doit payer au promoteur immobilier</w:t>
            </w:r>
            <w:r>
              <w:rPr>
                <w:rStyle w:val="Appelnotedebasdep"/>
                <w:lang w:val="fr-BE"/>
              </w:rPr>
              <w:footnoteReference w:id="45"/>
            </w:r>
            <w:r>
              <w:rPr>
                <w:lang w:val="fr-BE"/>
              </w:rPr>
              <w:t xml:space="preserve">. </w:t>
            </w:r>
          </w:p>
          <w:p w:rsidR="00A3740E" w:rsidRDefault="00A3740E" w:rsidP="00E95CB7">
            <w:pPr>
              <w:jc w:val="both"/>
              <w:rPr>
                <w:lang w:val="fr-BE"/>
              </w:rPr>
            </w:pPr>
          </w:p>
          <w:p w:rsidR="00A3740E" w:rsidRDefault="00A3740E" w:rsidP="00E95CB7">
            <w:pPr>
              <w:jc w:val="both"/>
              <w:rPr>
                <w:lang w:val="fr-BE"/>
              </w:rPr>
            </w:pPr>
            <w:r>
              <w:rPr>
                <w:lang w:val="fr-BE"/>
              </w:rPr>
              <w:t xml:space="preserve">Nous renvoyons le lecteur à la contribution de C.-E. Lambert et de R. </w:t>
            </w:r>
            <w:proofErr w:type="spellStart"/>
            <w:r>
              <w:rPr>
                <w:lang w:val="fr-BE"/>
              </w:rPr>
              <w:t>Thüngen</w:t>
            </w:r>
            <w:proofErr w:type="spellEnd"/>
            <w:r>
              <w:rPr>
                <w:lang w:val="fr-BE"/>
              </w:rPr>
              <w:t>, dans le présent ouvrage, sur les clauses d’inexécution.</w:t>
            </w:r>
          </w:p>
        </w:tc>
      </w:tr>
      <w:tr w:rsidR="00B06977" w:rsidRPr="00151932" w:rsidTr="00B06977">
        <w:tc>
          <w:tcPr>
            <w:tcW w:w="4248" w:type="dxa"/>
          </w:tcPr>
          <w:p w:rsidR="00B06977" w:rsidRDefault="00B06977" w:rsidP="00F67BE4">
            <w:pPr>
              <w:jc w:val="both"/>
              <w:rPr>
                <w:lang w:val="fr-BE"/>
              </w:rPr>
            </w:pPr>
            <w:r>
              <w:rPr>
                <w:lang w:val="fr-BE"/>
              </w:rPr>
              <w:lastRenderedPageBreak/>
              <w:t>VI.83, 17°</w:t>
            </w:r>
            <w:r w:rsidR="00E05D52">
              <w:rPr>
                <w:lang w:val="fr-BE"/>
              </w:rPr>
              <w:t>, du CDE</w:t>
            </w:r>
            <w:r>
              <w:rPr>
                <w:lang w:val="fr-BE"/>
              </w:rPr>
              <w:t> : « </w:t>
            </w:r>
            <w:r w:rsidRPr="00F67BE4">
              <w:rPr>
                <w:i/>
                <w:lang w:val="fr-BE"/>
              </w:rPr>
              <w:t>déterminer le montant de l’indemnité due par le consommateur qui n’exécute pas ses obligations, sans prévoir une indemnité du même ordre à charge de l’entreprise qui n’exécute pas les siennes</w:t>
            </w:r>
            <w:r>
              <w:rPr>
                <w:lang w:val="fr-BE"/>
              </w:rPr>
              <w:t> »</w:t>
            </w:r>
          </w:p>
          <w:p w:rsidR="00B06977" w:rsidRDefault="00B06977" w:rsidP="00F67BE4">
            <w:pPr>
              <w:jc w:val="both"/>
              <w:rPr>
                <w:lang w:val="fr-BE"/>
              </w:rPr>
            </w:pPr>
          </w:p>
          <w:p w:rsidR="00B06977" w:rsidRDefault="00B06977" w:rsidP="00E7773C">
            <w:pPr>
              <w:jc w:val="both"/>
              <w:rPr>
                <w:lang w:val="fr-BE"/>
              </w:rPr>
            </w:pPr>
            <w:r>
              <w:rPr>
                <w:lang w:val="fr-BE"/>
              </w:rPr>
              <w:t xml:space="preserve">Clause figurant dans la </w:t>
            </w:r>
            <w:r w:rsidRPr="00E7773C">
              <w:rPr>
                <w:b/>
                <w:lang w:val="fr-BE"/>
              </w:rPr>
              <w:t>liste noire</w:t>
            </w:r>
            <w:r>
              <w:rPr>
                <w:lang w:val="fr-BE"/>
              </w:rPr>
              <w:t>, abusive en toutes circonstances</w:t>
            </w:r>
          </w:p>
          <w:p w:rsidR="00290D4E" w:rsidRDefault="00290D4E" w:rsidP="00E7773C">
            <w:pPr>
              <w:jc w:val="both"/>
              <w:rPr>
                <w:lang w:val="fr-BE"/>
              </w:rPr>
            </w:pPr>
          </w:p>
          <w:p w:rsidR="00290D4E" w:rsidRPr="00525BB2" w:rsidRDefault="00290D4E" w:rsidP="00E7773C">
            <w:pPr>
              <w:jc w:val="both"/>
              <w:rPr>
                <w:i/>
                <w:lang w:val="fr-BE"/>
              </w:rPr>
            </w:pPr>
          </w:p>
        </w:tc>
        <w:tc>
          <w:tcPr>
            <w:tcW w:w="4252" w:type="dxa"/>
          </w:tcPr>
          <w:p w:rsidR="00B06977" w:rsidRDefault="00B06977" w:rsidP="00E7773C">
            <w:pPr>
              <w:jc w:val="both"/>
              <w:rPr>
                <w:lang w:val="fr-BE"/>
              </w:rPr>
            </w:pPr>
          </w:p>
        </w:tc>
        <w:tc>
          <w:tcPr>
            <w:tcW w:w="4395" w:type="dxa"/>
          </w:tcPr>
          <w:p w:rsidR="00B06977" w:rsidRDefault="00B06977" w:rsidP="00E7773C">
            <w:pPr>
              <w:jc w:val="both"/>
              <w:rPr>
                <w:lang w:val="fr-BE"/>
              </w:rPr>
            </w:pPr>
            <w:r>
              <w:rPr>
                <w:lang w:val="fr-BE"/>
              </w:rPr>
              <w:t xml:space="preserve">Cette disposition introduit l’exigence de réciprocité pour les clauses pénales qui figurent dans un contrat conclu entre une entreprise et un consommateur. </w:t>
            </w:r>
          </w:p>
          <w:p w:rsidR="00B06977" w:rsidRDefault="00476A44" w:rsidP="00E7773C">
            <w:pPr>
              <w:jc w:val="both"/>
              <w:rPr>
                <w:lang w:val="fr-BE"/>
              </w:rPr>
            </w:pPr>
            <w:r>
              <w:rPr>
                <w:lang w:val="fr-BE"/>
              </w:rPr>
              <w:t xml:space="preserve">L’article VI.83, 17°, du CDE </w:t>
            </w:r>
            <w:r w:rsidR="00B06977">
              <w:rPr>
                <w:lang w:val="fr-BE"/>
              </w:rPr>
              <w:t>n’est pas applicable aux clauses de dédit, lesquelles imposent au débiteur de payer au cocontractant une somme qui n’est que la contrepartie du droit qui lui est reconnu de mettre anticipativement fin à la convention.</w:t>
            </w:r>
            <w:r w:rsidR="00B06977" w:rsidRPr="001B028A">
              <w:rPr>
                <w:rFonts w:eastAsia="Calibri" w:cs="Times New Roman"/>
                <w:lang w:val="fr-BE"/>
              </w:rPr>
              <w:t xml:space="preserve"> A la différence de la clause pénale, la clause de dédit n’est pas la sanction d’un manquement contractuel</w:t>
            </w:r>
            <w:r w:rsidR="00B06977">
              <w:rPr>
                <w:rStyle w:val="Appelnotedebasdep"/>
                <w:rFonts w:eastAsia="Calibri" w:cs="Times New Roman"/>
                <w:lang w:val="fr-BE"/>
              </w:rPr>
              <w:footnoteReference w:id="46"/>
            </w:r>
            <w:r w:rsidR="00B06977">
              <w:rPr>
                <w:lang w:val="fr-BE"/>
              </w:rPr>
              <w:t xml:space="preserve">. L’article VI.83, 27°, du CDE prévoit toutefois une condition de réciprocité pour certaines indemnités de dédit. </w:t>
            </w:r>
          </w:p>
          <w:p w:rsidR="00B06977" w:rsidRDefault="00B06977" w:rsidP="00E7773C">
            <w:pPr>
              <w:jc w:val="both"/>
              <w:rPr>
                <w:lang w:val="fr-BE"/>
              </w:rPr>
            </w:pPr>
          </w:p>
          <w:p w:rsidR="00B06977" w:rsidRDefault="00B06977" w:rsidP="001B028A">
            <w:pPr>
              <w:jc w:val="both"/>
              <w:rPr>
                <w:lang w:val="fr-BE"/>
              </w:rPr>
            </w:pPr>
            <w:r>
              <w:rPr>
                <w:lang w:val="fr-BE"/>
              </w:rPr>
              <w:t>Dans un avis du 21 octobre 1997</w:t>
            </w:r>
            <w:r>
              <w:rPr>
                <w:rStyle w:val="Appelnotedebasdep"/>
                <w:lang w:val="fr-BE"/>
              </w:rPr>
              <w:footnoteReference w:id="47"/>
            </w:r>
            <w:r>
              <w:rPr>
                <w:lang w:val="fr-BE"/>
              </w:rPr>
              <w:t xml:space="preserve">, la Commission des clauses abusives livre d’intéressants enseignements sur cette </w:t>
            </w:r>
            <w:r>
              <w:rPr>
                <w:lang w:val="fr-BE"/>
              </w:rPr>
              <w:lastRenderedPageBreak/>
              <w:t xml:space="preserve">exigence de réciprocité de la clause pénale : </w:t>
            </w:r>
            <w:r w:rsidRPr="001369AF">
              <w:rPr>
                <w:lang w:val="fr-BE"/>
              </w:rPr>
              <w:t>« </w:t>
            </w:r>
            <w:r w:rsidR="0015782A" w:rsidRPr="001369AF">
              <w:rPr>
                <w:i/>
                <w:lang w:val="fr-BE"/>
              </w:rPr>
              <w:t>l’</w:t>
            </w:r>
            <w:r w:rsidRPr="001369AF">
              <w:rPr>
                <w:i/>
                <w:lang w:val="fr-BE"/>
              </w:rPr>
              <w:t>exigence de réciprocité de clauses en faveur des deux parties doit être comprise en ce sens que, eu égard aux différences des</w:t>
            </w:r>
            <w:r>
              <w:rPr>
                <w:i/>
                <w:lang w:val="fr-BE"/>
              </w:rPr>
              <w:t xml:space="preserve"> </w:t>
            </w:r>
            <w:r w:rsidRPr="001369AF">
              <w:rPr>
                <w:i/>
                <w:lang w:val="fr-BE"/>
              </w:rPr>
              <w:t>réalités écon</w:t>
            </w:r>
            <w:r w:rsidR="0015782A" w:rsidRPr="001369AF">
              <w:rPr>
                <w:i/>
                <w:lang w:val="fr-BE"/>
              </w:rPr>
              <w:t>omiques et sociales en cause, l’</w:t>
            </w:r>
            <w:r w:rsidRPr="001369AF">
              <w:rPr>
                <w:i/>
                <w:lang w:val="fr-BE"/>
              </w:rPr>
              <w:t>exigence de réciprocité ne suppose pas une identité de contenu des clau</w:t>
            </w:r>
            <w:r w:rsidR="0015782A" w:rsidRPr="001369AF">
              <w:rPr>
                <w:i/>
                <w:lang w:val="fr-BE"/>
              </w:rPr>
              <w:t>ses prévues de part et d’</w:t>
            </w:r>
            <w:r w:rsidRPr="001369AF">
              <w:rPr>
                <w:i/>
                <w:lang w:val="fr-BE"/>
              </w:rPr>
              <w:t>autre mais une correspondance dans les clauses quant aux manquements contractuels stigmatisés de part et d</w:t>
            </w:r>
            <w:r w:rsidR="0015782A" w:rsidRPr="001369AF">
              <w:rPr>
                <w:i/>
                <w:lang w:val="fr-BE"/>
              </w:rPr>
              <w:t>’autre; qu’</w:t>
            </w:r>
            <w:r w:rsidRPr="001369AF">
              <w:rPr>
                <w:i/>
                <w:lang w:val="fr-BE"/>
              </w:rPr>
              <w:t>ainsi, par exemple, dès lors qu</w:t>
            </w:r>
            <w:r w:rsidR="0015782A" w:rsidRPr="001369AF">
              <w:rPr>
                <w:i/>
                <w:lang w:val="fr-BE"/>
              </w:rPr>
              <w:t>’</w:t>
            </w:r>
            <w:r w:rsidRPr="001369AF">
              <w:rPr>
                <w:i/>
                <w:lang w:val="fr-BE"/>
              </w:rPr>
              <w:t xml:space="preserve">une </w:t>
            </w:r>
            <w:r w:rsidR="0015782A" w:rsidRPr="001369AF">
              <w:rPr>
                <w:i/>
                <w:lang w:val="fr-BE"/>
              </w:rPr>
              <w:t xml:space="preserve">clause prévoit la </w:t>
            </w:r>
            <w:proofErr w:type="spellStart"/>
            <w:r w:rsidR="0015782A" w:rsidRPr="001369AF">
              <w:rPr>
                <w:i/>
                <w:lang w:val="fr-BE"/>
              </w:rPr>
              <w:t>débition</w:t>
            </w:r>
            <w:proofErr w:type="spellEnd"/>
            <w:r w:rsidR="0015782A" w:rsidRPr="001369AF">
              <w:rPr>
                <w:i/>
                <w:lang w:val="fr-BE"/>
              </w:rPr>
              <w:t xml:space="preserve"> d’</w:t>
            </w:r>
            <w:r w:rsidRPr="001369AF">
              <w:rPr>
                <w:i/>
                <w:lang w:val="fr-BE"/>
              </w:rPr>
              <w:t>une indemnité en cas de retard du paiement du prix par l</w:t>
            </w:r>
            <w:r w:rsidR="0015782A" w:rsidRPr="001369AF">
              <w:rPr>
                <w:i/>
                <w:lang w:val="fr-BE"/>
              </w:rPr>
              <w:t>’</w:t>
            </w:r>
            <w:r w:rsidRPr="001369AF">
              <w:rPr>
                <w:i/>
                <w:lang w:val="fr-BE"/>
              </w:rPr>
              <w:t>acheteur, doit se trouver une clause prévoyant une indemnité pour le cas de retard dans la livraison du bien; de même, si u</w:t>
            </w:r>
            <w:r w:rsidR="0015782A" w:rsidRPr="001369AF">
              <w:rPr>
                <w:i/>
                <w:lang w:val="fr-BE"/>
              </w:rPr>
              <w:t xml:space="preserve">ne clause prévoit la </w:t>
            </w:r>
            <w:proofErr w:type="spellStart"/>
            <w:r w:rsidR="0015782A" w:rsidRPr="001369AF">
              <w:rPr>
                <w:i/>
                <w:lang w:val="fr-BE"/>
              </w:rPr>
              <w:t>débition</w:t>
            </w:r>
            <w:proofErr w:type="spellEnd"/>
            <w:r w:rsidR="0015782A" w:rsidRPr="001369AF">
              <w:rPr>
                <w:i/>
                <w:lang w:val="fr-BE"/>
              </w:rPr>
              <w:t xml:space="preserve"> d’</w:t>
            </w:r>
            <w:r w:rsidRPr="001369AF">
              <w:rPr>
                <w:i/>
                <w:lang w:val="fr-BE"/>
              </w:rPr>
              <w:t>une indemnité en c</w:t>
            </w:r>
            <w:r w:rsidR="0015782A" w:rsidRPr="001369AF">
              <w:rPr>
                <w:i/>
                <w:lang w:val="fr-BE"/>
              </w:rPr>
              <w:t>as de résolution en raison de l’</w:t>
            </w:r>
            <w:r w:rsidRPr="001369AF">
              <w:rPr>
                <w:i/>
                <w:lang w:val="fr-BE"/>
              </w:rPr>
              <w:t>inexécution fautive par le consommateur de ses obligations, doit être prévue une clause fixant une indemni</w:t>
            </w:r>
            <w:r w:rsidR="0015782A" w:rsidRPr="001369AF">
              <w:rPr>
                <w:i/>
                <w:lang w:val="fr-BE"/>
              </w:rPr>
              <w:t>té en cas de résolution due à l’</w:t>
            </w:r>
            <w:r w:rsidRPr="001369AF">
              <w:rPr>
                <w:i/>
                <w:lang w:val="fr-BE"/>
              </w:rPr>
              <w:t>inexécution fautive de ses obligations par le vendeur </w:t>
            </w:r>
            <w:r>
              <w:rPr>
                <w:lang w:val="fr-BE"/>
              </w:rPr>
              <w:t>».</w:t>
            </w:r>
          </w:p>
          <w:p w:rsidR="00B06977" w:rsidRDefault="00B06977" w:rsidP="001B028A">
            <w:pPr>
              <w:jc w:val="both"/>
              <w:rPr>
                <w:lang w:val="fr-BE"/>
              </w:rPr>
            </w:pPr>
          </w:p>
          <w:p w:rsidR="00A3740E" w:rsidRDefault="00A44E5D" w:rsidP="00485B9B">
            <w:pPr>
              <w:jc w:val="both"/>
              <w:rPr>
                <w:lang w:val="fr-BE"/>
              </w:rPr>
            </w:pPr>
            <w:r>
              <w:rPr>
                <w:lang w:val="fr-BE"/>
              </w:rPr>
              <w:t xml:space="preserve">Selon la Commission des clauses abusives, ne satisfait pas à l’exigence de réciprocité la </w:t>
            </w:r>
            <w:r w:rsidR="00EB3343">
              <w:rPr>
                <w:lang w:val="fr-BE"/>
              </w:rPr>
              <w:t xml:space="preserve">stipulation </w:t>
            </w:r>
            <w:r w:rsidR="00B06977">
              <w:rPr>
                <w:lang w:val="fr-BE"/>
              </w:rPr>
              <w:t>qui</w:t>
            </w:r>
            <w:r w:rsidR="00EB3343">
              <w:rPr>
                <w:lang w:val="fr-BE"/>
              </w:rPr>
              <w:t xml:space="preserve"> impose au consommateur de fournir la </w:t>
            </w:r>
            <w:r w:rsidR="00485B9B">
              <w:rPr>
                <w:lang w:val="fr-BE"/>
              </w:rPr>
              <w:t>preuve de son dommage alors que</w:t>
            </w:r>
            <w:r w:rsidR="00EB3343">
              <w:rPr>
                <w:lang w:val="fr-BE"/>
              </w:rPr>
              <w:t xml:space="preserve"> la clause pénale prévue à l’avantage de </w:t>
            </w:r>
            <w:r w:rsidR="00EB3343">
              <w:rPr>
                <w:lang w:val="fr-BE"/>
              </w:rPr>
              <w:lastRenderedPageBreak/>
              <w:t>l’entreprise joue de manière automatique et n’exige pas</w:t>
            </w:r>
            <w:r w:rsidR="009D6F82">
              <w:rPr>
                <w:lang w:val="fr-BE"/>
              </w:rPr>
              <w:t xml:space="preserve"> la démonstration du préjudice</w:t>
            </w:r>
            <w:r w:rsidR="00B06977">
              <w:rPr>
                <w:rStyle w:val="Appelnotedebasdep"/>
                <w:lang w:val="fr-BE"/>
              </w:rPr>
              <w:footnoteReference w:id="48"/>
            </w:r>
            <w:r w:rsidR="00B06977">
              <w:rPr>
                <w:lang w:val="fr-BE"/>
              </w:rPr>
              <w:t>.</w:t>
            </w:r>
          </w:p>
          <w:p w:rsidR="00A3740E" w:rsidRDefault="00A3740E" w:rsidP="00485B9B">
            <w:pPr>
              <w:jc w:val="both"/>
              <w:rPr>
                <w:lang w:val="fr-BE"/>
              </w:rPr>
            </w:pPr>
          </w:p>
          <w:p w:rsidR="00485B9B" w:rsidRDefault="00A3740E" w:rsidP="00485B9B">
            <w:pPr>
              <w:jc w:val="both"/>
              <w:rPr>
                <w:lang w:val="fr-BE"/>
              </w:rPr>
            </w:pPr>
            <w:r>
              <w:rPr>
                <w:lang w:val="fr-BE"/>
              </w:rPr>
              <w:t xml:space="preserve">Nous renvoyons le lecteur à la contribution de C.-E. Lambert et de R. </w:t>
            </w:r>
            <w:proofErr w:type="spellStart"/>
            <w:r>
              <w:rPr>
                <w:lang w:val="fr-BE"/>
              </w:rPr>
              <w:t>Thüngen</w:t>
            </w:r>
            <w:proofErr w:type="spellEnd"/>
            <w:r>
              <w:rPr>
                <w:lang w:val="fr-BE"/>
              </w:rPr>
              <w:t xml:space="preserve">, dans le présent ouvrage, sur les clauses d’inexécution. </w:t>
            </w:r>
            <w:r w:rsidR="00B06977">
              <w:rPr>
                <w:lang w:val="fr-BE"/>
              </w:rPr>
              <w:t xml:space="preserve"> </w:t>
            </w:r>
          </w:p>
        </w:tc>
      </w:tr>
      <w:tr w:rsidR="00B06977" w:rsidRPr="00151932" w:rsidTr="00B06977">
        <w:tc>
          <w:tcPr>
            <w:tcW w:w="4248" w:type="dxa"/>
          </w:tcPr>
          <w:p w:rsidR="00B06977" w:rsidRDefault="00B06977" w:rsidP="00100F51">
            <w:pPr>
              <w:jc w:val="both"/>
              <w:rPr>
                <w:lang w:val="fr-BE"/>
              </w:rPr>
            </w:pPr>
            <w:r>
              <w:rPr>
                <w:lang w:val="fr-BE"/>
              </w:rPr>
              <w:lastRenderedPageBreak/>
              <w:t>VI.83, 18°</w:t>
            </w:r>
            <w:r w:rsidR="00E05D52">
              <w:rPr>
                <w:lang w:val="fr-BE"/>
              </w:rPr>
              <w:t>, du CDE</w:t>
            </w:r>
            <w:r>
              <w:rPr>
                <w:lang w:val="fr-BE"/>
              </w:rPr>
              <w:t xml:space="preserve"> : </w:t>
            </w:r>
            <w:r w:rsidRPr="00100F51">
              <w:rPr>
                <w:i/>
                <w:lang w:val="fr-BE"/>
              </w:rPr>
              <w:t>« engager le consommateur pour une durée indéterminée, sans spécification d</w:t>
            </w:r>
            <w:r>
              <w:rPr>
                <w:i/>
                <w:lang w:val="fr-BE"/>
              </w:rPr>
              <w:t>’</w:t>
            </w:r>
            <w:r w:rsidRPr="00100F51">
              <w:rPr>
                <w:i/>
                <w:lang w:val="fr-BE"/>
              </w:rPr>
              <w:t>un délai raisonnable de résiliation</w:t>
            </w:r>
            <w:r>
              <w:rPr>
                <w:lang w:val="fr-BE"/>
              </w:rPr>
              <w:t> »</w:t>
            </w:r>
          </w:p>
          <w:p w:rsidR="00B06977" w:rsidRDefault="00B06977" w:rsidP="00100F51">
            <w:pPr>
              <w:jc w:val="both"/>
              <w:rPr>
                <w:lang w:val="fr-BE"/>
              </w:rPr>
            </w:pPr>
          </w:p>
          <w:p w:rsidR="00B06977" w:rsidRDefault="00B06977" w:rsidP="00F67BE4">
            <w:pPr>
              <w:jc w:val="both"/>
              <w:rPr>
                <w:lang w:val="fr-BE"/>
              </w:rPr>
            </w:pPr>
            <w:r>
              <w:rPr>
                <w:lang w:val="fr-BE"/>
              </w:rPr>
              <w:t xml:space="preserve">Clause figurant dans la </w:t>
            </w:r>
            <w:r w:rsidRPr="00E7773C">
              <w:rPr>
                <w:b/>
                <w:lang w:val="fr-BE"/>
              </w:rPr>
              <w:t>liste noire</w:t>
            </w:r>
            <w:r>
              <w:rPr>
                <w:lang w:val="fr-BE"/>
              </w:rPr>
              <w:t>, abusive en toutes circonstances</w:t>
            </w:r>
          </w:p>
          <w:p w:rsidR="00290D4E" w:rsidRDefault="00290D4E" w:rsidP="00F67BE4">
            <w:pPr>
              <w:jc w:val="both"/>
              <w:rPr>
                <w:lang w:val="fr-BE"/>
              </w:rPr>
            </w:pPr>
          </w:p>
          <w:p w:rsidR="00290D4E" w:rsidRPr="00525BB2" w:rsidRDefault="00290D4E" w:rsidP="00F67BE4">
            <w:pPr>
              <w:jc w:val="both"/>
              <w:rPr>
                <w:i/>
                <w:lang w:val="fr-BE"/>
              </w:rPr>
            </w:pPr>
          </w:p>
        </w:tc>
        <w:tc>
          <w:tcPr>
            <w:tcW w:w="4252" w:type="dxa"/>
          </w:tcPr>
          <w:p w:rsidR="00B06977" w:rsidRDefault="00E05D52" w:rsidP="00E7773C">
            <w:pPr>
              <w:jc w:val="both"/>
              <w:rPr>
                <w:lang w:val="fr-BE"/>
              </w:rPr>
            </w:pPr>
            <w:r>
              <w:rPr>
                <w:lang w:val="fr-BE"/>
              </w:rPr>
              <w:t xml:space="preserve">VI.91/5, 5°, du CDE </w:t>
            </w:r>
            <w:r w:rsidR="00B06977">
              <w:rPr>
                <w:lang w:val="fr-BE"/>
              </w:rPr>
              <w:t>: « </w:t>
            </w:r>
            <w:r w:rsidR="00B06977" w:rsidRPr="00F95F34">
              <w:rPr>
                <w:i/>
                <w:lang w:val="fr-BE"/>
              </w:rPr>
              <w:t>sans préjudice de l’article 1184 du Code civil, engager les parties sans spécification d’un délai raisonnable de résiliation</w:t>
            </w:r>
            <w:r w:rsidR="00B06977">
              <w:rPr>
                <w:lang w:val="fr-BE"/>
              </w:rPr>
              <w:t> »</w:t>
            </w:r>
          </w:p>
          <w:p w:rsidR="00B06977" w:rsidRDefault="00B06977" w:rsidP="00A56839">
            <w:pPr>
              <w:rPr>
                <w:lang w:val="fr-BE"/>
              </w:rPr>
            </w:pPr>
          </w:p>
          <w:p w:rsidR="00B06977" w:rsidRDefault="00B06977" w:rsidP="00E7773C">
            <w:pPr>
              <w:jc w:val="both"/>
              <w:rPr>
                <w:lang w:val="fr-BE"/>
              </w:rPr>
            </w:pPr>
            <w:r>
              <w:rPr>
                <w:lang w:val="fr-BE"/>
              </w:rPr>
              <w:t xml:space="preserve">Clause figurant dans la </w:t>
            </w:r>
            <w:r w:rsidRPr="00E7773C">
              <w:rPr>
                <w:b/>
                <w:lang w:val="fr-BE"/>
              </w:rPr>
              <w:t>liste</w:t>
            </w:r>
            <w:r>
              <w:rPr>
                <w:b/>
                <w:lang w:val="fr-BE"/>
              </w:rPr>
              <w:t xml:space="preserve"> grise</w:t>
            </w:r>
            <w:r>
              <w:rPr>
                <w:lang w:val="fr-BE"/>
              </w:rPr>
              <w:t>, abusive sauf preuve contraire</w:t>
            </w:r>
          </w:p>
        </w:tc>
        <w:tc>
          <w:tcPr>
            <w:tcW w:w="4395" w:type="dxa"/>
          </w:tcPr>
          <w:p w:rsidR="00B06977" w:rsidRDefault="00B06977" w:rsidP="00FE1106">
            <w:pPr>
              <w:jc w:val="both"/>
              <w:rPr>
                <w:lang w:val="fr-BE"/>
              </w:rPr>
            </w:pPr>
            <w:r>
              <w:rPr>
                <w:lang w:val="fr-BE"/>
              </w:rPr>
              <w:t xml:space="preserve">Dans la mesure où l’ordre public répugne aux engagements perpétuels, </w:t>
            </w:r>
            <w:r w:rsidR="006E6709">
              <w:rPr>
                <w:lang w:val="fr-BE"/>
              </w:rPr>
              <w:t xml:space="preserve">ces dispositions </w:t>
            </w:r>
            <w:r>
              <w:rPr>
                <w:lang w:val="fr-BE"/>
              </w:rPr>
              <w:t>confirme</w:t>
            </w:r>
            <w:r w:rsidR="006E6709">
              <w:rPr>
                <w:lang w:val="fr-BE"/>
              </w:rPr>
              <w:t>nt</w:t>
            </w:r>
            <w:r w:rsidR="007E05D0">
              <w:rPr>
                <w:lang w:val="fr-BE"/>
              </w:rPr>
              <w:t xml:space="preserve"> le principe – de</w:t>
            </w:r>
            <w:r>
              <w:rPr>
                <w:lang w:val="fr-BE"/>
              </w:rPr>
              <w:t xml:space="preserve"> droit commun – selon lequel les contrats à durée </w:t>
            </w:r>
            <w:r w:rsidRPr="00FE1106">
              <w:rPr>
                <w:i/>
                <w:lang w:val="fr-BE"/>
              </w:rPr>
              <w:t>indéterminée</w:t>
            </w:r>
            <w:r>
              <w:rPr>
                <w:lang w:val="fr-BE"/>
              </w:rPr>
              <w:t xml:space="preserve"> peuvent être résiliés unilatéralement, par chacune des parties, moyennant un préavis raisonnable</w:t>
            </w:r>
            <w:r w:rsidR="001B17D3">
              <w:rPr>
                <w:rStyle w:val="Appelnotedebasdep"/>
                <w:lang w:val="fr-BE"/>
              </w:rPr>
              <w:footnoteReference w:id="49"/>
            </w:r>
            <w:r>
              <w:rPr>
                <w:lang w:val="fr-BE"/>
              </w:rPr>
              <w:t xml:space="preserve">.  </w:t>
            </w:r>
            <w:r w:rsidR="00AD376B">
              <w:rPr>
                <w:lang w:val="fr-BE"/>
              </w:rPr>
              <w:t xml:space="preserve">Il est requis que ce délai de résiliation ne soit pas exagérément long en ce sens qu’il ne peut compromettre de manière excessive la liberté contractuelle du consommateur/de l’entreprise. </w:t>
            </w:r>
          </w:p>
          <w:p w:rsidR="00440AE1" w:rsidRDefault="00B06977" w:rsidP="00440AE1">
            <w:pPr>
              <w:jc w:val="both"/>
              <w:rPr>
                <w:lang w:val="fr-BE"/>
              </w:rPr>
            </w:pPr>
            <w:r>
              <w:rPr>
                <w:lang w:val="fr-BE"/>
              </w:rPr>
              <w:t>L’on notera que la disposition relative aux</w:t>
            </w:r>
            <w:r w:rsidRPr="0003258F">
              <w:rPr>
                <w:b/>
                <w:lang w:val="fr-BE"/>
              </w:rPr>
              <w:t xml:space="preserve"> relations B2B</w:t>
            </w:r>
            <w:r>
              <w:rPr>
                <w:lang w:val="fr-BE"/>
              </w:rPr>
              <w:t xml:space="preserve"> est formulée de manière plus large que celle visant les relations B2C. En effet, le législateur semble conférer à chaque partie une faculté de résiliation unilatérale non seulement en cas de contrat à durée indéterminée (ce qui est conforme au droit commun), mais aussi pour les </w:t>
            </w:r>
            <w:r>
              <w:rPr>
                <w:lang w:val="fr-BE"/>
              </w:rPr>
              <w:lastRenderedPageBreak/>
              <w:t xml:space="preserve">contrats à durée déterminée (ce qui </w:t>
            </w:r>
            <w:r w:rsidR="00B30622">
              <w:rPr>
                <w:lang w:val="fr-BE"/>
              </w:rPr>
              <w:t>est contraire au</w:t>
            </w:r>
            <w:r>
              <w:rPr>
                <w:lang w:val="fr-BE"/>
              </w:rPr>
              <w:t xml:space="preserve"> droit commun</w:t>
            </w:r>
            <w:r>
              <w:rPr>
                <w:rStyle w:val="Appelnotedebasdep"/>
                <w:lang w:val="fr-BE"/>
              </w:rPr>
              <w:footnoteReference w:id="50"/>
            </w:r>
            <w:r>
              <w:rPr>
                <w:lang w:val="fr-BE"/>
              </w:rPr>
              <w:t>). Les travaux préparatoires de la loi du 4 avril 2019</w:t>
            </w:r>
            <w:r>
              <w:rPr>
                <w:rStyle w:val="Appelnotedebasdep"/>
                <w:lang w:val="fr-BE"/>
              </w:rPr>
              <w:footnoteReference w:id="51"/>
            </w:r>
            <w:r>
              <w:rPr>
                <w:lang w:val="fr-BE"/>
              </w:rPr>
              <w:t xml:space="preserve"> (en ce qui concerne les relations B2B) </w:t>
            </w:r>
            <w:r w:rsidR="00CD7681">
              <w:rPr>
                <w:lang w:val="fr-BE"/>
              </w:rPr>
              <w:t xml:space="preserve">peuvent être lus en ce sens </w:t>
            </w:r>
            <w:r>
              <w:rPr>
                <w:lang w:val="fr-BE"/>
              </w:rPr>
              <w:t>: « </w:t>
            </w:r>
            <w:r w:rsidRPr="001369AF">
              <w:rPr>
                <w:i/>
                <w:lang w:val="fr-BE"/>
              </w:rPr>
              <w:t xml:space="preserve">Comme indiqué ci-dessus </w:t>
            </w:r>
            <w:r w:rsidRPr="00AD376B">
              <w:rPr>
                <w:lang w:val="fr-BE"/>
              </w:rPr>
              <w:t>[cf. art. VI.91/5, 2°]</w:t>
            </w:r>
            <w:r w:rsidRPr="001369AF">
              <w:rPr>
                <w:i/>
                <w:lang w:val="fr-BE"/>
              </w:rPr>
              <w:t xml:space="preserve"> pour les clauses de prorogation ou de renouvellement tacite, </w:t>
            </w:r>
            <w:r w:rsidRPr="00AD376B">
              <w:rPr>
                <w:i/>
                <w:lang w:val="fr-BE"/>
              </w:rPr>
              <w:t>pour les contrats à durée déterminée</w:t>
            </w:r>
            <w:r w:rsidRPr="001369AF">
              <w:rPr>
                <w:i/>
                <w:lang w:val="fr-BE"/>
              </w:rPr>
              <w:t xml:space="preserve">, la liberté contractuelle ne doit pas non plus être manifestement affectée et, </w:t>
            </w:r>
            <w:r w:rsidRPr="00AD376B">
              <w:rPr>
                <w:lang w:val="fr-BE"/>
              </w:rPr>
              <w:t>en cas de durée déterminée</w:t>
            </w:r>
            <w:r w:rsidRPr="001369AF">
              <w:rPr>
                <w:i/>
                <w:lang w:val="fr-BE"/>
              </w:rPr>
              <w:t xml:space="preserve">, </w:t>
            </w:r>
            <w:r w:rsidRPr="001369AF">
              <w:rPr>
                <w:lang w:val="fr-BE"/>
              </w:rPr>
              <w:t>l’autre partie doit égalemen</w:t>
            </w:r>
            <w:r w:rsidRPr="00AD376B">
              <w:rPr>
                <w:lang w:val="fr-BE"/>
              </w:rPr>
              <w:t xml:space="preserve">t </w:t>
            </w:r>
            <w:r w:rsidRPr="001369AF">
              <w:rPr>
                <w:lang w:val="fr-BE"/>
              </w:rPr>
              <w:t>disposer d’un délai de résiliation raisonnable »</w:t>
            </w:r>
            <w:r w:rsidR="006E6709">
              <w:rPr>
                <w:lang w:val="fr-BE"/>
              </w:rPr>
              <w:t xml:space="preserve"> (nous soulignons)</w:t>
            </w:r>
            <w:r>
              <w:rPr>
                <w:rStyle w:val="Appelnotedebasdep"/>
                <w:lang w:val="fr-BE"/>
              </w:rPr>
              <w:footnoteReference w:id="52"/>
            </w:r>
            <w:r>
              <w:rPr>
                <w:lang w:val="fr-BE"/>
              </w:rPr>
              <w:t xml:space="preserve">. </w:t>
            </w:r>
          </w:p>
          <w:p w:rsidR="00B06977" w:rsidRDefault="00440AE1" w:rsidP="00440AE1">
            <w:pPr>
              <w:jc w:val="both"/>
              <w:rPr>
                <w:lang w:val="fr-BE"/>
              </w:rPr>
            </w:pPr>
            <w:r>
              <w:rPr>
                <w:lang w:val="fr-BE"/>
              </w:rPr>
              <w:t>Selon certains auteurs</w:t>
            </w:r>
            <w:r>
              <w:rPr>
                <w:rStyle w:val="Appelnotedebasdep"/>
                <w:lang w:val="fr-BE"/>
              </w:rPr>
              <w:footnoteReference w:id="53"/>
            </w:r>
            <w:r>
              <w:rPr>
                <w:lang w:val="fr-BE"/>
              </w:rPr>
              <w:t xml:space="preserve">, l’application de la faculté de résiliation unilatérale à des </w:t>
            </w:r>
            <w:r>
              <w:rPr>
                <w:lang w:val="fr-BE"/>
              </w:rPr>
              <w:lastRenderedPageBreak/>
              <w:t xml:space="preserve">contrats à durée déterminée (dans le cadre des relations B2B) reviendrait à créer une différence de traitement injustifiée entre, d’une part, les contrats conclus entre une entreprise et un consommateur et, d’autre part, les conventions entre entreprises. En d’autres termes, le principe constitutionnel d’égalité commanderait de ne pas tenir compte du passage précité des travaux préparatoires et de ne permettre la faculté de résiliation unilatérale qu’à l’égard des contrats à durée </w:t>
            </w:r>
            <w:r>
              <w:rPr>
                <w:i/>
                <w:lang w:val="fr-BE"/>
              </w:rPr>
              <w:t>indéterminée</w:t>
            </w:r>
            <w:r w:rsidR="006742B5" w:rsidRPr="00FB33B5">
              <w:rPr>
                <w:rStyle w:val="Appelnotedebasdep"/>
                <w:lang w:val="fr-BE"/>
              </w:rPr>
              <w:footnoteReference w:id="54"/>
            </w:r>
            <w:r>
              <w:rPr>
                <w:lang w:val="fr-BE"/>
              </w:rPr>
              <w:t xml:space="preserve">. </w:t>
            </w:r>
          </w:p>
          <w:p w:rsidR="00A3740E" w:rsidRDefault="00A3740E" w:rsidP="00440AE1">
            <w:pPr>
              <w:jc w:val="both"/>
              <w:rPr>
                <w:lang w:val="fr-BE"/>
              </w:rPr>
            </w:pPr>
          </w:p>
          <w:p w:rsidR="00A3740E" w:rsidRPr="00440AE1" w:rsidRDefault="00A3740E" w:rsidP="00440AE1">
            <w:pPr>
              <w:jc w:val="both"/>
              <w:rPr>
                <w:lang w:val="fr-BE"/>
              </w:rPr>
            </w:pPr>
            <w:r>
              <w:rPr>
                <w:lang w:val="fr-BE"/>
              </w:rPr>
              <w:t xml:space="preserve">Nous renvoyons le lecteur à la contribution de K. </w:t>
            </w:r>
            <w:proofErr w:type="spellStart"/>
            <w:r>
              <w:rPr>
                <w:lang w:val="fr-BE"/>
              </w:rPr>
              <w:t>Troch</w:t>
            </w:r>
            <w:proofErr w:type="spellEnd"/>
            <w:r>
              <w:rPr>
                <w:lang w:val="fr-BE"/>
              </w:rPr>
              <w:t>, dans le présent ouvrage, sur les clauses de durée.</w:t>
            </w:r>
          </w:p>
        </w:tc>
      </w:tr>
      <w:tr w:rsidR="006B56CF" w:rsidRPr="00151932" w:rsidTr="00B06977">
        <w:tc>
          <w:tcPr>
            <w:tcW w:w="4248" w:type="dxa"/>
          </w:tcPr>
          <w:p w:rsidR="006B56CF" w:rsidRDefault="00E05D52" w:rsidP="00E46188">
            <w:pPr>
              <w:jc w:val="both"/>
              <w:rPr>
                <w:lang w:val="fr-BE"/>
              </w:rPr>
            </w:pPr>
            <w:r>
              <w:rPr>
                <w:lang w:val="fr-BE"/>
              </w:rPr>
              <w:lastRenderedPageBreak/>
              <w:t xml:space="preserve">VI.83, 19°, du CDE </w:t>
            </w:r>
            <w:r w:rsidR="006B56CF">
              <w:rPr>
                <w:lang w:val="fr-BE"/>
              </w:rPr>
              <w:t>: « </w:t>
            </w:r>
            <w:r w:rsidR="006B56CF" w:rsidRPr="00FE1106">
              <w:rPr>
                <w:i/>
                <w:lang w:val="fr-BE"/>
              </w:rPr>
              <w:t>proroger le contrat à durée déterminée de livraison successive de biens pour une durée déraisonnable si le consommateur ne résilie pas à temps</w:t>
            </w:r>
            <w:r w:rsidR="006B56CF">
              <w:rPr>
                <w:lang w:val="fr-BE"/>
              </w:rPr>
              <w:t> »</w:t>
            </w:r>
          </w:p>
          <w:p w:rsidR="006B56CF" w:rsidRDefault="006B56CF" w:rsidP="00E46188">
            <w:pPr>
              <w:jc w:val="both"/>
              <w:rPr>
                <w:lang w:val="fr-BE"/>
              </w:rPr>
            </w:pPr>
          </w:p>
          <w:p w:rsidR="006B56CF" w:rsidRDefault="006B56CF" w:rsidP="00100F51">
            <w:pPr>
              <w:jc w:val="both"/>
              <w:rPr>
                <w:lang w:val="fr-BE"/>
              </w:rPr>
            </w:pPr>
            <w:r>
              <w:rPr>
                <w:lang w:val="fr-BE"/>
              </w:rPr>
              <w:t xml:space="preserve">Clause figurant dans la </w:t>
            </w:r>
            <w:r w:rsidRPr="00E7773C">
              <w:rPr>
                <w:b/>
                <w:lang w:val="fr-BE"/>
              </w:rPr>
              <w:t>liste noire</w:t>
            </w:r>
            <w:r>
              <w:rPr>
                <w:lang w:val="fr-BE"/>
              </w:rPr>
              <w:t>, abusive en toutes circonstances</w:t>
            </w:r>
          </w:p>
          <w:p w:rsidR="000F2F80" w:rsidRDefault="000F2F80" w:rsidP="00100F51">
            <w:pPr>
              <w:jc w:val="both"/>
              <w:rPr>
                <w:lang w:val="fr-BE"/>
              </w:rPr>
            </w:pPr>
          </w:p>
          <w:p w:rsidR="000F2F80" w:rsidRPr="00525BB2" w:rsidRDefault="000F2F80" w:rsidP="00100F51">
            <w:pPr>
              <w:jc w:val="both"/>
              <w:rPr>
                <w:i/>
                <w:lang w:val="fr-BE"/>
              </w:rPr>
            </w:pPr>
            <w:r>
              <w:rPr>
                <w:i/>
                <w:lang w:val="fr-BE"/>
              </w:rPr>
              <w:t>Pas applicable en matière immobilière</w:t>
            </w:r>
          </w:p>
        </w:tc>
        <w:tc>
          <w:tcPr>
            <w:tcW w:w="4252" w:type="dxa"/>
          </w:tcPr>
          <w:p w:rsidR="006B56CF" w:rsidRDefault="006B56CF" w:rsidP="00E7773C">
            <w:pPr>
              <w:jc w:val="both"/>
              <w:rPr>
                <w:lang w:val="fr-BE"/>
              </w:rPr>
            </w:pPr>
          </w:p>
          <w:p w:rsidR="006B56CF" w:rsidRDefault="006B56CF" w:rsidP="00E7773C">
            <w:pPr>
              <w:jc w:val="both"/>
              <w:rPr>
                <w:lang w:val="fr-BE"/>
              </w:rPr>
            </w:pPr>
          </w:p>
          <w:p w:rsidR="006B56CF" w:rsidRDefault="006B56CF" w:rsidP="00E7773C">
            <w:pPr>
              <w:jc w:val="both"/>
              <w:rPr>
                <w:lang w:val="fr-BE"/>
              </w:rPr>
            </w:pPr>
          </w:p>
          <w:p w:rsidR="006B56CF" w:rsidRDefault="006B56CF" w:rsidP="00E7773C">
            <w:pPr>
              <w:jc w:val="both"/>
              <w:rPr>
                <w:lang w:val="fr-BE"/>
              </w:rPr>
            </w:pPr>
          </w:p>
          <w:p w:rsidR="006B56CF" w:rsidRDefault="006B56CF" w:rsidP="00E7773C">
            <w:pPr>
              <w:jc w:val="both"/>
              <w:rPr>
                <w:lang w:val="fr-BE"/>
              </w:rPr>
            </w:pPr>
          </w:p>
          <w:p w:rsidR="006B56CF" w:rsidRDefault="006B56CF" w:rsidP="00E7773C">
            <w:pPr>
              <w:jc w:val="both"/>
              <w:rPr>
                <w:lang w:val="fr-BE"/>
              </w:rPr>
            </w:pPr>
          </w:p>
          <w:p w:rsidR="006B56CF" w:rsidRDefault="006B56CF" w:rsidP="00E7773C">
            <w:pPr>
              <w:jc w:val="both"/>
              <w:rPr>
                <w:lang w:val="fr-BE"/>
              </w:rPr>
            </w:pPr>
          </w:p>
          <w:p w:rsidR="006B56CF" w:rsidRDefault="006B56CF" w:rsidP="00E7773C">
            <w:pPr>
              <w:jc w:val="both"/>
              <w:rPr>
                <w:lang w:val="fr-BE"/>
              </w:rPr>
            </w:pPr>
          </w:p>
          <w:p w:rsidR="006B56CF" w:rsidRDefault="006B56CF" w:rsidP="00E7773C">
            <w:pPr>
              <w:jc w:val="both"/>
              <w:rPr>
                <w:lang w:val="fr-BE"/>
              </w:rPr>
            </w:pPr>
          </w:p>
          <w:p w:rsidR="006B56CF" w:rsidRDefault="006B56CF" w:rsidP="00E7773C">
            <w:pPr>
              <w:jc w:val="both"/>
              <w:rPr>
                <w:lang w:val="fr-BE"/>
              </w:rPr>
            </w:pPr>
          </w:p>
          <w:p w:rsidR="006B56CF" w:rsidRDefault="006B56CF" w:rsidP="00E7773C">
            <w:pPr>
              <w:jc w:val="both"/>
              <w:rPr>
                <w:lang w:val="fr-BE"/>
              </w:rPr>
            </w:pPr>
          </w:p>
          <w:p w:rsidR="006B56CF" w:rsidRDefault="006B56CF" w:rsidP="00E7773C">
            <w:pPr>
              <w:jc w:val="both"/>
              <w:rPr>
                <w:lang w:val="fr-BE"/>
              </w:rPr>
            </w:pPr>
          </w:p>
          <w:p w:rsidR="006B56CF" w:rsidRDefault="006B56CF" w:rsidP="00E7773C">
            <w:pPr>
              <w:jc w:val="both"/>
              <w:rPr>
                <w:lang w:val="fr-BE"/>
              </w:rPr>
            </w:pPr>
          </w:p>
          <w:p w:rsidR="006B56CF" w:rsidRPr="00A56839" w:rsidRDefault="006B56CF" w:rsidP="006B56CF">
            <w:pPr>
              <w:jc w:val="both"/>
              <w:rPr>
                <w:lang w:val="fr-BE"/>
              </w:rPr>
            </w:pPr>
          </w:p>
        </w:tc>
        <w:tc>
          <w:tcPr>
            <w:tcW w:w="4395" w:type="dxa"/>
          </w:tcPr>
          <w:p w:rsidR="006B56CF" w:rsidRDefault="006B56CF" w:rsidP="0085383E">
            <w:pPr>
              <w:jc w:val="both"/>
              <w:rPr>
                <w:lang w:val="fr-BE"/>
              </w:rPr>
            </w:pPr>
            <w:r>
              <w:rPr>
                <w:lang w:val="fr-BE"/>
              </w:rPr>
              <w:lastRenderedPageBreak/>
              <w:t>Les clauses de prorogation</w:t>
            </w:r>
            <w:r w:rsidR="00EB5393">
              <w:rPr>
                <w:lang w:val="fr-BE"/>
              </w:rPr>
              <w:t>, dans les contrats à durée déterminée,</w:t>
            </w:r>
            <w:r>
              <w:rPr>
                <w:lang w:val="fr-BE"/>
              </w:rPr>
              <w:t xml:space="preserve"> sont proscrites lorsque la nouvelle durée, en l’absence de résiliation à temps, est déraisonnable. La disposition vise ainsi à éviter que la période correspondant à la prorogation soit exagérément longue (compte tenu, notamment, de la durée de l’engagement initial, de la nature du </w:t>
            </w:r>
            <w:r w:rsidR="00010B55">
              <w:rPr>
                <w:lang w:val="fr-BE"/>
              </w:rPr>
              <w:t xml:space="preserve">bien </w:t>
            </w:r>
            <w:r>
              <w:rPr>
                <w:lang w:val="fr-BE"/>
              </w:rPr>
              <w:t>ou encore la structure du marché).</w:t>
            </w:r>
          </w:p>
          <w:p w:rsidR="006B56CF" w:rsidRDefault="006B56CF" w:rsidP="0085383E">
            <w:pPr>
              <w:jc w:val="both"/>
              <w:rPr>
                <w:lang w:val="fr-BE"/>
              </w:rPr>
            </w:pPr>
          </w:p>
          <w:p w:rsidR="006B56CF" w:rsidRDefault="006B56CF" w:rsidP="00E04135">
            <w:pPr>
              <w:jc w:val="both"/>
              <w:rPr>
                <w:lang w:val="fr-BE"/>
              </w:rPr>
            </w:pPr>
            <w:r>
              <w:rPr>
                <w:lang w:val="fr-BE"/>
              </w:rPr>
              <w:lastRenderedPageBreak/>
              <w:t xml:space="preserve">La disposition ne s’applique qu’aux contrats de livraison successive de « biens », c’est-à-dire de biens meubles corporels (cf. art. I.1, 6°, du CDE). </w:t>
            </w:r>
          </w:p>
          <w:p w:rsidR="00A3740E" w:rsidRDefault="00A3740E" w:rsidP="00E04135">
            <w:pPr>
              <w:jc w:val="both"/>
              <w:rPr>
                <w:lang w:val="fr-BE"/>
              </w:rPr>
            </w:pPr>
          </w:p>
          <w:p w:rsidR="00094E56" w:rsidRDefault="00A3740E" w:rsidP="00A3740E">
            <w:pPr>
              <w:jc w:val="both"/>
              <w:rPr>
                <w:lang w:val="fr-BE"/>
              </w:rPr>
            </w:pPr>
            <w:r>
              <w:rPr>
                <w:lang w:val="fr-BE"/>
              </w:rPr>
              <w:t xml:space="preserve">Nous renvoyons le lecteur à la contribution de K. </w:t>
            </w:r>
            <w:proofErr w:type="spellStart"/>
            <w:r>
              <w:rPr>
                <w:lang w:val="fr-BE"/>
              </w:rPr>
              <w:t>Troch</w:t>
            </w:r>
            <w:proofErr w:type="spellEnd"/>
            <w:r>
              <w:rPr>
                <w:lang w:val="fr-BE"/>
              </w:rPr>
              <w:t>, dans le présent ouvrage, sur les clauses de durée.</w:t>
            </w:r>
          </w:p>
        </w:tc>
      </w:tr>
      <w:tr w:rsidR="006B56CF" w:rsidRPr="00151932" w:rsidTr="00B06977">
        <w:tc>
          <w:tcPr>
            <w:tcW w:w="4248" w:type="dxa"/>
          </w:tcPr>
          <w:p w:rsidR="006B56CF" w:rsidRDefault="006B56CF" w:rsidP="00E7773C">
            <w:pPr>
              <w:jc w:val="both"/>
              <w:rPr>
                <w:lang w:val="fr-BE"/>
              </w:rPr>
            </w:pPr>
            <w:r>
              <w:rPr>
                <w:lang w:val="fr-BE"/>
              </w:rPr>
              <w:lastRenderedPageBreak/>
              <w:t>VI.83, 20°</w:t>
            </w:r>
            <w:r w:rsidR="00E05D52">
              <w:rPr>
                <w:lang w:val="fr-BE"/>
              </w:rPr>
              <w:t>, du CDE</w:t>
            </w:r>
            <w:r>
              <w:rPr>
                <w:lang w:val="fr-BE"/>
              </w:rPr>
              <w:t> : « </w:t>
            </w:r>
            <w:r w:rsidRPr="00FE1106">
              <w:rPr>
                <w:i/>
                <w:lang w:val="fr-BE"/>
              </w:rPr>
              <w:t xml:space="preserve">proroger automatiquement un </w:t>
            </w:r>
            <w:r>
              <w:rPr>
                <w:i/>
                <w:lang w:val="fr-BE"/>
              </w:rPr>
              <w:t>contrat à durée déterminée en l’absence d’</w:t>
            </w:r>
            <w:r w:rsidRPr="00FE1106">
              <w:rPr>
                <w:i/>
                <w:lang w:val="fr-BE"/>
              </w:rPr>
              <w:t xml:space="preserve">une notification contraire du consommateur, </w:t>
            </w:r>
            <w:r>
              <w:rPr>
                <w:i/>
                <w:lang w:val="fr-BE"/>
              </w:rPr>
              <w:t>alors qu’</w:t>
            </w:r>
            <w:r w:rsidRPr="00FE1106">
              <w:rPr>
                <w:i/>
                <w:lang w:val="fr-BE"/>
              </w:rPr>
              <w:t>une date excessivement éloignée de la fin du contrat a été fixée comme date limite pour exprimer cette volonté de non-prorogation de la part du consommateur</w:t>
            </w:r>
            <w:r>
              <w:rPr>
                <w:lang w:val="fr-BE"/>
              </w:rPr>
              <w:t> »</w:t>
            </w:r>
          </w:p>
          <w:p w:rsidR="006B56CF" w:rsidRDefault="006B56CF" w:rsidP="00E7773C">
            <w:pPr>
              <w:jc w:val="both"/>
              <w:rPr>
                <w:lang w:val="fr-BE"/>
              </w:rPr>
            </w:pPr>
          </w:p>
          <w:p w:rsidR="006B56CF" w:rsidRDefault="006B56CF" w:rsidP="00E46188">
            <w:pPr>
              <w:jc w:val="both"/>
              <w:rPr>
                <w:lang w:val="fr-BE"/>
              </w:rPr>
            </w:pPr>
            <w:r>
              <w:rPr>
                <w:lang w:val="fr-BE"/>
              </w:rPr>
              <w:t xml:space="preserve">Clause figurant dans la </w:t>
            </w:r>
            <w:r w:rsidRPr="00E7773C">
              <w:rPr>
                <w:b/>
                <w:lang w:val="fr-BE"/>
              </w:rPr>
              <w:t>liste noire</w:t>
            </w:r>
            <w:r>
              <w:rPr>
                <w:lang w:val="fr-BE"/>
              </w:rPr>
              <w:t>, abusive en toutes circonstances</w:t>
            </w:r>
          </w:p>
          <w:p w:rsidR="00290D4E" w:rsidRDefault="00290D4E" w:rsidP="00E46188">
            <w:pPr>
              <w:jc w:val="both"/>
              <w:rPr>
                <w:lang w:val="fr-BE"/>
              </w:rPr>
            </w:pPr>
          </w:p>
          <w:p w:rsidR="00290D4E" w:rsidRPr="00525BB2" w:rsidRDefault="00290D4E" w:rsidP="00E46188">
            <w:pPr>
              <w:jc w:val="both"/>
              <w:rPr>
                <w:i/>
                <w:lang w:val="fr-BE"/>
              </w:rPr>
            </w:pPr>
          </w:p>
        </w:tc>
        <w:tc>
          <w:tcPr>
            <w:tcW w:w="4252" w:type="dxa"/>
          </w:tcPr>
          <w:p w:rsidR="006B56CF" w:rsidRDefault="006B56CF" w:rsidP="006B56CF">
            <w:pPr>
              <w:jc w:val="both"/>
              <w:rPr>
                <w:lang w:val="fr-BE"/>
              </w:rPr>
            </w:pPr>
            <w:r>
              <w:rPr>
                <w:lang w:val="fr-BE"/>
              </w:rPr>
              <w:t>VI.91/5, 2°</w:t>
            </w:r>
            <w:r w:rsidR="00E05D52">
              <w:rPr>
                <w:lang w:val="fr-BE"/>
              </w:rPr>
              <w:t>, du CDE</w:t>
            </w:r>
            <w:r>
              <w:rPr>
                <w:lang w:val="fr-BE"/>
              </w:rPr>
              <w:t> : « </w:t>
            </w:r>
            <w:r w:rsidRPr="00E46188">
              <w:rPr>
                <w:i/>
                <w:lang w:val="fr-BE"/>
              </w:rPr>
              <w:t>proroger ou renouveler tacitement un contrat à durée déterminée sans spécification d’un délai raisonnable de résiliation</w:t>
            </w:r>
            <w:r>
              <w:rPr>
                <w:lang w:val="fr-BE"/>
              </w:rPr>
              <w:t> »</w:t>
            </w:r>
          </w:p>
          <w:p w:rsidR="006B56CF" w:rsidRDefault="006B56CF" w:rsidP="006B56CF">
            <w:pPr>
              <w:jc w:val="both"/>
              <w:rPr>
                <w:lang w:val="fr-BE"/>
              </w:rPr>
            </w:pPr>
          </w:p>
          <w:p w:rsidR="006B56CF" w:rsidRDefault="006B56CF" w:rsidP="006B56CF">
            <w:pPr>
              <w:jc w:val="both"/>
              <w:rPr>
                <w:lang w:val="fr-BE"/>
              </w:rPr>
            </w:pPr>
            <w:r>
              <w:rPr>
                <w:lang w:val="fr-BE"/>
              </w:rPr>
              <w:t xml:space="preserve">Clause figurant dans la </w:t>
            </w:r>
            <w:r w:rsidRPr="00E7773C">
              <w:rPr>
                <w:b/>
                <w:lang w:val="fr-BE"/>
              </w:rPr>
              <w:t>liste</w:t>
            </w:r>
            <w:r>
              <w:rPr>
                <w:b/>
                <w:lang w:val="fr-BE"/>
              </w:rPr>
              <w:t xml:space="preserve"> grise</w:t>
            </w:r>
            <w:r>
              <w:rPr>
                <w:lang w:val="fr-BE"/>
              </w:rPr>
              <w:t xml:space="preserve">, abusive sauf preuve contraire </w:t>
            </w:r>
          </w:p>
          <w:p w:rsidR="00010B55" w:rsidRDefault="00010B55" w:rsidP="006B56CF">
            <w:pPr>
              <w:jc w:val="both"/>
              <w:rPr>
                <w:lang w:val="fr-BE"/>
              </w:rPr>
            </w:pPr>
          </w:p>
          <w:p w:rsidR="006B56CF" w:rsidRPr="00A56839" w:rsidRDefault="006B56CF" w:rsidP="006B56CF">
            <w:pPr>
              <w:jc w:val="both"/>
              <w:rPr>
                <w:lang w:val="fr-BE"/>
              </w:rPr>
            </w:pPr>
            <w:r w:rsidRPr="00E46188">
              <w:rPr>
                <w:b/>
                <w:lang w:val="fr-BE"/>
              </w:rPr>
              <w:t xml:space="preserve">B2B </w:t>
            </w:r>
            <w:r>
              <w:rPr>
                <w:lang w:val="fr-BE"/>
              </w:rPr>
              <w:t xml:space="preserve">Les clauses qui prorogent ou renouvellent un contrat sans prévoir la possibilité pour l’entreprise d’y mettre fin </w:t>
            </w:r>
            <w:r w:rsidRPr="002C10B0">
              <w:rPr>
                <w:u w:val="single"/>
                <w:lang w:val="fr-BE"/>
              </w:rPr>
              <w:t>ou</w:t>
            </w:r>
            <w:r>
              <w:rPr>
                <w:lang w:val="fr-BE"/>
              </w:rPr>
              <w:t xml:space="preserve"> qui imposent un délai de résiliation déraisonnable sont abusives. Elle sont en outre considérées comme préjudiciables à la libre concurrence. </w:t>
            </w:r>
          </w:p>
          <w:p w:rsidR="006B56CF" w:rsidRPr="00E46188" w:rsidRDefault="006A62B9" w:rsidP="006A62B9">
            <w:pPr>
              <w:jc w:val="both"/>
              <w:rPr>
                <w:lang w:val="fr-BE"/>
              </w:rPr>
            </w:pPr>
            <w:r>
              <w:rPr>
                <w:lang w:val="fr-BE"/>
              </w:rPr>
              <w:t>E</w:t>
            </w:r>
            <w:r w:rsidR="00DC3CC0">
              <w:rPr>
                <w:lang w:val="fr-BE"/>
              </w:rPr>
              <w:t>n réalité</w:t>
            </w:r>
            <w:r w:rsidR="001E05E8">
              <w:rPr>
                <w:lang w:val="fr-BE"/>
              </w:rPr>
              <w:t xml:space="preserve">, l’article VI.91/5, 2°, du CDE doit être compris en ce sens qu’il permet à une entreprise de s’opposer à une prorogation/un renouvellement du contrat, </w:t>
            </w:r>
            <w:r w:rsidR="001E05E8">
              <w:rPr>
                <w:lang w:val="fr-BE"/>
              </w:rPr>
              <w:lastRenderedPageBreak/>
              <w:t>moyennant le respect d’un préavis raisonnable</w:t>
            </w:r>
            <w:r w:rsidR="00E77EDF">
              <w:rPr>
                <w:rStyle w:val="Appelnotedebasdep"/>
                <w:lang w:val="fr-BE"/>
              </w:rPr>
              <w:footnoteReference w:id="55"/>
            </w:r>
            <w:r w:rsidR="001E05E8">
              <w:rPr>
                <w:lang w:val="fr-BE"/>
              </w:rPr>
              <w:t>.</w:t>
            </w:r>
            <w:r w:rsidR="00DC3CC0">
              <w:rPr>
                <w:lang w:val="fr-BE"/>
              </w:rPr>
              <w:t xml:space="preserve"> En d’autres termes, le mot « résiliation » vise plutôt une « opposition » à la prorogation ou au renouvellement du contrat, donnée avant l’échéance du terme</w:t>
            </w:r>
            <w:r w:rsidR="00D36015">
              <w:rPr>
                <w:rStyle w:val="Appelnotedebasdep"/>
                <w:lang w:val="fr-BE"/>
              </w:rPr>
              <w:footnoteReference w:id="56"/>
            </w:r>
            <w:r w:rsidR="00DC3CC0">
              <w:rPr>
                <w:lang w:val="fr-BE"/>
              </w:rPr>
              <w:t>.</w:t>
            </w:r>
          </w:p>
        </w:tc>
        <w:tc>
          <w:tcPr>
            <w:tcW w:w="4395" w:type="dxa"/>
          </w:tcPr>
          <w:p w:rsidR="006B56CF" w:rsidRDefault="006B56CF" w:rsidP="00EE59D1">
            <w:pPr>
              <w:jc w:val="both"/>
              <w:rPr>
                <w:lang w:val="fr-BE"/>
              </w:rPr>
            </w:pPr>
            <w:r w:rsidRPr="0085383E">
              <w:rPr>
                <w:b/>
                <w:lang w:val="fr-BE"/>
              </w:rPr>
              <w:lastRenderedPageBreak/>
              <w:t>B2C</w:t>
            </w:r>
            <w:r>
              <w:rPr>
                <w:lang w:val="fr-BE"/>
              </w:rPr>
              <w:t xml:space="preserve"> </w:t>
            </w:r>
            <w:r w:rsidR="0015782A">
              <w:rPr>
                <w:lang w:val="fr-BE"/>
              </w:rPr>
              <w:t xml:space="preserve">L’article VI.83, 20°, du CDE </w:t>
            </w:r>
            <w:r>
              <w:rPr>
                <w:lang w:val="fr-BE"/>
              </w:rPr>
              <w:t>vise à éviter que l’entreprise fixe une date limite excessivement éloignée de la fin du contrat initial</w:t>
            </w:r>
            <w:r w:rsidR="00EB5393">
              <w:rPr>
                <w:lang w:val="fr-BE"/>
              </w:rPr>
              <w:t xml:space="preserve"> (à durée déterminée) pour que le cocontractant</w:t>
            </w:r>
            <w:r>
              <w:rPr>
                <w:lang w:val="fr-BE"/>
              </w:rPr>
              <w:t xml:space="preserve"> (consommateur) puisse exprimer une « volonté de non-prorogation ». </w:t>
            </w:r>
            <w:r w:rsidR="00ED5F09">
              <w:rPr>
                <w:lang w:val="fr-BE"/>
              </w:rPr>
              <w:t xml:space="preserve">En d’autres termes, le délai </w:t>
            </w:r>
            <w:r w:rsidR="006B3A33">
              <w:rPr>
                <w:lang w:val="fr-BE"/>
              </w:rPr>
              <w:t xml:space="preserve">que doit prendre en considération le consommateur pour s’opposer à la prorogation d’un contrat à durée déterminée ne peut être déraisonnablement long. </w:t>
            </w:r>
          </w:p>
          <w:p w:rsidR="006B56CF" w:rsidRDefault="006B56CF" w:rsidP="00EE59D1">
            <w:pPr>
              <w:jc w:val="both"/>
              <w:rPr>
                <w:lang w:val="fr-BE"/>
              </w:rPr>
            </w:pPr>
          </w:p>
          <w:p w:rsidR="006B56CF" w:rsidRDefault="006B56CF" w:rsidP="00AC229B">
            <w:pPr>
              <w:jc w:val="both"/>
              <w:rPr>
                <w:lang w:val="fr-BE"/>
              </w:rPr>
            </w:pPr>
            <w:r>
              <w:rPr>
                <w:lang w:val="fr-BE"/>
              </w:rPr>
              <w:t>Ainsi, la Commission des clauses abusives s’est prononcée sur la validité de certains contrats de courtage immobilier</w:t>
            </w:r>
            <w:r>
              <w:rPr>
                <w:rStyle w:val="Appelnotedebasdep"/>
                <w:lang w:val="fr-BE"/>
              </w:rPr>
              <w:footnoteReference w:id="57"/>
            </w:r>
            <w:r>
              <w:rPr>
                <w:lang w:val="fr-BE"/>
              </w:rPr>
              <w:t>. A cet égard,</w:t>
            </w:r>
            <w:r w:rsidR="00D91CE3">
              <w:rPr>
                <w:lang w:val="fr-BE"/>
              </w:rPr>
              <w:t xml:space="preserve"> elle a considéré comme abusive</w:t>
            </w:r>
            <w:r>
              <w:rPr>
                <w:lang w:val="fr-BE"/>
              </w:rPr>
              <w:t xml:space="preserve"> l</w:t>
            </w:r>
            <w:r w:rsidR="00D91CE3">
              <w:rPr>
                <w:lang w:val="fr-BE"/>
              </w:rPr>
              <w:t>a clause</w:t>
            </w:r>
            <w:r>
              <w:rPr>
                <w:lang w:val="fr-BE"/>
              </w:rPr>
              <w:t xml:space="preserve"> </w:t>
            </w:r>
            <w:r w:rsidRPr="00E46188">
              <w:rPr>
                <w:lang w:val="fr-BE"/>
              </w:rPr>
              <w:t>par l</w:t>
            </w:r>
            <w:r w:rsidR="00D91CE3">
              <w:rPr>
                <w:lang w:val="fr-BE"/>
              </w:rPr>
              <w:t>a</w:t>
            </w:r>
            <w:r w:rsidRPr="00E46188">
              <w:rPr>
                <w:lang w:val="fr-BE"/>
              </w:rPr>
              <w:t>quelle le consommateur doit</w:t>
            </w:r>
            <w:r w:rsidR="00D91CE3">
              <w:rPr>
                <w:lang w:val="fr-BE"/>
              </w:rPr>
              <w:t xml:space="preserve"> </w:t>
            </w:r>
            <w:r w:rsidRPr="00E46188">
              <w:rPr>
                <w:lang w:val="fr-BE"/>
              </w:rPr>
              <w:t xml:space="preserve">communiquer sa volonté de ne pas prolonger le contrat trois mois avant </w:t>
            </w:r>
            <w:r w:rsidRPr="00E46188">
              <w:rPr>
                <w:lang w:val="fr-BE"/>
              </w:rPr>
              <w:lastRenderedPageBreak/>
              <w:t>l’expiration</w:t>
            </w:r>
            <w:r>
              <w:rPr>
                <w:lang w:val="fr-BE"/>
              </w:rPr>
              <w:t xml:space="preserve"> </w:t>
            </w:r>
            <w:r w:rsidRPr="00E46188">
              <w:rPr>
                <w:lang w:val="fr-BE"/>
              </w:rPr>
              <w:t>de la durée déterminée</w:t>
            </w:r>
            <w:r>
              <w:rPr>
                <w:lang w:val="fr-BE"/>
              </w:rPr>
              <w:t xml:space="preserve"> (la durée de l’engagement initial s’élevait, en l’occurrence, à 12 mois).</w:t>
            </w:r>
            <w:r w:rsidR="00EB5393">
              <w:rPr>
                <w:lang w:val="fr-BE"/>
              </w:rPr>
              <w:t xml:space="preserve"> </w:t>
            </w:r>
          </w:p>
          <w:p w:rsidR="00A3740E" w:rsidRDefault="00A3740E" w:rsidP="00AC229B">
            <w:pPr>
              <w:jc w:val="both"/>
              <w:rPr>
                <w:lang w:val="fr-BE"/>
              </w:rPr>
            </w:pPr>
          </w:p>
          <w:p w:rsidR="00A3740E" w:rsidRDefault="00A3740E" w:rsidP="00AC229B">
            <w:pPr>
              <w:jc w:val="both"/>
              <w:rPr>
                <w:lang w:val="fr-BE"/>
              </w:rPr>
            </w:pPr>
            <w:r>
              <w:rPr>
                <w:lang w:val="fr-BE"/>
              </w:rPr>
              <w:t xml:space="preserve">Nous renvoyons le lecteur à la contribution de K. </w:t>
            </w:r>
            <w:proofErr w:type="spellStart"/>
            <w:r>
              <w:rPr>
                <w:lang w:val="fr-BE"/>
              </w:rPr>
              <w:t>Troch</w:t>
            </w:r>
            <w:proofErr w:type="spellEnd"/>
            <w:r>
              <w:rPr>
                <w:lang w:val="fr-BE"/>
              </w:rPr>
              <w:t>, dans le présent ouvrage, sur les clauses de durée.</w:t>
            </w:r>
          </w:p>
        </w:tc>
      </w:tr>
      <w:tr w:rsidR="00B06977" w:rsidRPr="00151932" w:rsidTr="00B06977">
        <w:tc>
          <w:tcPr>
            <w:tcW w:w="4248" w:type="dxa"/>
          </w:tcPr>
          <w:p w:rsidR="00B06977" w:rsidRDefault="00E05D52" w:rsidP="00E7773C">
            <w:pPr>
              <w:jc w:val="both"/>
              <w:rPr>
                <w:lang w:val="fr-BE"/>
              </w:rPr>
            </w:pPr>
            <w:r>
              <w:rPr>
                <w:lang w:val="fr-BE"/>
              </w:rPr>
              <w:lastRenderedPageBreak/>
              <w:t xml:space="preserve">VI.83, 21°, du CDE </w:t>
            </w:r>
            <w:r w:rsidR="00B06977">
              <w:rPr>
                <w:lang w:val="fr-BE"/>
              </w:rPr>
              <w:t>: « </w:t>
            </w:r>
            <w:r w:rsidR="00B06977" w:rsidRPr="00E12046">
              <w:rPr>
                <w:i/>
                <w:lang w:val="fr-BE"/>
              </w:rPr>
              <w:t>limiter de manière non autorisée les moyens de preuve que le consommateur peut utiliser ou lui imposer une charge de la preuve qui incombe normalement à une autre partie au contrat</w:t>
            </w:r>
            <w:r w:rsidR="00B06977">
              <w:rPr>
                <w:lang w:val="fr-BE"/>
              </w:rPr>
              <w:t> »</w:t>
            </w:r>
          </w:p>
          <w:p w:rsidR="00B06977" w:rsidRDefault="00B06977" w:rsidP="00E7773C">
            <w:pPr>
              <w:jc w:val="both"/>
              <w:rPr>
                <w:lang w:val="fr-BE"/>
              </w:rPr>
            </w:pPr>
          </w:p>
          <w:p w:rsidR="00B06977" w:rsidRDefault="00B06977" w:rsidP="00E7773C">
            <w:pPr>
              <w:jc w:val="both"/>
              <w:rPr>
                <w:lang w:val="fr-BE"/>
              </w:rPr>
            </w:pPr>
            <w:r>
              <w:rPr>
                <w:lang w:val="fr-BE"/>
              </w:rPr>
              <w:t xml:space="preserve">Clause figurant dans la </w:t>
            </w:r>
            <w:r w:rsidRPr="00E7773C">
              <w:rPr>
                <w:b/>
                <w:lang w:val="fr-BE"/>
              </w:rPr>
              <w:t>liste noire</w:t>
            </w:r>
            <w:r>
              <w:rPr>
                <w:lang w:val="fr-BE"/>
              </w:rPr>
              <w:t>, abusive en toutes circonstances</w:t>
            </w:r>
          </w:p>
          <w:p w:rsidR="00290D4E" w:rsidRDefault="00290D4E" w:rsidP="00E7773C">
            <w:pPr>
              <w:jc w:val="both"/>
              <w:rPr>
                <w:lang w:val="fr-BE"/>
              </w:rPr>
            </w:pPr>
          </w:p>
          <w:p w:rsidR="00290D4E" w:rsidRPr="00525BB2" w:rsidRDefault="00290D4E" w:rsidP="00E7773C">
            <w:pPr>
              <w:jc w:val="both"/>
              <w:rPr>
                <w:i/>
                <w:lang w:val="fr-BE"/>
              </w:rPr>
            </w:pPr>
          </w:p>
        </w:tc>
        <w:tc>
          <w:tcPr>
            <w:tcW w:w="4252" w:type="dxa"/>
          </w:tcPr>
          <w:p w:rsidR="006B56CF" w:rsidRDefault="006B56CF" w:rsidP="006B56CF">
            <w:pPr>
              <w:jc w:val="both"/>
              <w:rPr>
                <w:lang w:val="fr-BE"/>
              </w:rPr>
            </w:pPr>
            <w:r>
              <w:rPr>
                <w:lang w:val="fr-BE"/>
              </w:rPr>
              <w:t>VI.91/5, 7°</w:t>
            </w:r>
            <w:r w:rsidR="00E05D52">
              <w:rPr>
                <w:lang w:val="fr-BE"/>
              </w:rPr>
              <w:t>, du CDE</w:t>
            </w:r>
            <w:r>
              <w:rPr>
                <w:lang w:val="fr-BE"/>
              </w:rPr>
              <w:t> : « </w:t>
            </w:r>
            <w:r w:rsidRPr="00E12046">
              <w:rPr>
                <w:i/>
                <w:lang w:val="fr-BE"/>
              </w:rPr>
              <w:t>limiter les moyens de preuve que l’autre partie peut utiliser</w:t>
            </w:r>
            <w:r>
              <w:rPr>
                <w:lang w:val="fr-BE"/>
              </w:rPr>
              <w:t> »</w:t>
            </w:r>
          </w:p>
          <w:p w:rsidR="006B56CF" w:rsidRDefault="006B56CF" w:rsidP="006B56CF">
            <w:pPr>
              <w:jc w:val="both"/>
              <w:rPr>
                <w:lang w:val="fr-BE"/>
              </w:rPr>
            </w:pPr>
          </w:p>
          <w:p w:rsidR="006B56CF" w:rsidRDefault="006B56CF" w:rsidP="006B56CF">
            <w:pPr>
              <w:jc w:val="both"/>
              <w:rPr>
                <w:lang w:val="fr-BE"/>
              </w:rPr>
            </w:pPr>
          </w:p>
          <w:p w:rsidR="006B56CF" w:rsidRDefault="006B56CF" w:rsidP="006B56CF">
            <w:pPr>
              <w:jc w:val="both"/>
              <w:rPr>
                <w:lang w:val="fr-BE"/>
              </w:rPr>
            </w:pPr>
          </w:p>
          <w:p w:rsidR="006B56CF" w:rsidRDefault="006B56CF" w:rsidP="006B56CF">
            <w:pPr>
              <w:jc w:val="both"/>
              <w:rPr>
                <w:lang w:val="fr-BE"/>
              </w:rPr>
            </w:pPr>
          </w:p>
          <w:p w:rsidR="006B56CF" w:rsidRDefault="006B56CF" w:rsidP="006B56CF">
            <w:pPr>
              <w:jc w:val="both"/>
              <w:rPr>
                <w:lang w:val="fr-BE"/>
              </w:rPr>
            </w:pPr>
          </w:p>
          <w:p w:rsidR="006B56CF" w:rsidRDefault="006B56CF" w:rsidP="006B56CF">
            <w:pPr>
              <w:jc w:val="both"/>
              <w:rPr>
                <w:lang w:val="fr-BE"/>
              </w:rPr>
            </w:pPr>
            <w:r>
              <w:rPr>
                <w:lang w:val="fr-BE"/>
              </w:rPr>
              <w:t xml:space="preserve">Clause figurant dans la </w:t>
            </w:r>
            <w:r w:rsidRPr="00E7773C">
              <w:rPr>
                <w:b/>
                <w:lang w:val="fr-BE"/>
              </w:rPr>
              <w:t>liste</w:t>
            </w:r>
            <w:r>
              <w:rPr>
                <w:b/>
                <w:lang w:val="fr-BE"/>
              </w:rPr>
              <w:t xml:space="preserve"> grise</w:t>
            </w:r>
            <w:r>
              <w:rPr>
                <w:lang w:val="fr-BE"/>
              </w:rPr>
              <w:t xml:space="preserve">, abusive sauf preuve contraire </w:t>
            </w:r>
          </w:p>
          <w:p w:rsidR="00B06977" w:rsidRDefault="00B06977" w:rsidP="00E7773C">
            <w:pPr>
              <w:jc w:val="both"/>
              <w:rPr>
                <w:lang w:val="fr-BE"/>
              </w:rPr>
            </w:pPr>
          </w:p>
        </w:tc>
        <w:tc>
          <w:tcPr>
            <w:tcW w:w="4395" w:type="dxa"/>
          </w:tcPr>
          <w:p w:rsidR="00B06977" w:rsidRDefault="00B06977" w:rsidP="00E7773C">
            <w:pPr>
              <w:jc w:val="both"/>
              <w:rPr>
                <w:lang w:val="fr-BE"/>
              </w:rPr>
            </w:pPr>
            <w:r>
              <w:rPr>
                <w:lang w:val="fr-BE"/>
              </w:rPr>
              <w:t xml:space="preserve">Bien que les textes dont question ne visent que les restrictions des « moyens de preuve », il faut considérer que les clauses limitant les modes de preuve doivent également être tenues pour abusives. </w:t>
            </w:r>
          </w:p>
          <w:p w:rsidR="00B06977" w:rsidRDefault="00B06977" w:rsidP="008614CE">
            <w:pPr>
              <w:jc w:val="both"/>
              <w:rPr>
                <w:lang w:val="fr-BE"/>
              </w:rPr>
            </w:pPr>
            <w:r>
              <w:rPr>
                <w:lang w:val="fr-BE"/>
              </w:rPr>
              <w:t>La notion de « modes des preuve » désigne les différentes catégories de preuve :  l’écrit, le témoignage, la présomption, l’aveu et le serment, du moins en matière civile. Les moyens de preuve sont les différentes formes que peuvent revêtir ces différentes catégories (par exemple, l’écrit peut tantôt être authentique, tantôt sous seing privé). Ainsi toute clause qui vise à limiter le mode de preuve apporte par définition des restrictions aux moyens de preuve</w:t>
            </w:r>
            <w:r>
              <w:rPr>
                <w:rStyle w:val="Appelnotedebasdep"/>
                <w:lang w:val="fr-BE"/>
              </w:rPr>
              <w:footnoteReference w:id="58"/>
            </w:r>
            <w:r>
              <w:rPr>
                <w:lang w:val="fr-BE"/>
              </w:rPr>
              <w:t xml:space="preserve">. </w:t>
            </w:r>
          </w:p>
          <w:p w:rsidR="00B06977" w:rsidRDefault="00B06977" w:rsidP="008614CE">
            <w:pPr>
              <w:jc w:val="both"/>
              <w:rPr>
                <w:lang w:val="fr-BE"/>
              </w:rPr>
            </w:pPr>
            <w:r>
              <w:rPr>
                <w:lang w:val="fr-BE"/>
              </w:rPr>
              <w:lastRenderedPageBreak/>
              <w:t xml:space="preserve">L’interdiction n’a pas pour effet de déroger aux articles 1341 et s. </w:t>
            </w:r>
            <w:r w:rsidR="009241AF">
              <w:rPr>
                <w:lang w:val="fr-BE"/>
              </w:rPr>
              <w:t xml:space="preserve">du </w:t>
            </w:r>
            <w:r>
              <w:rPr>
                <w:lang w:val="fr-BE"/>
              </w:rPr>
              <w:t>Code civil</w:t>
            </w:r>
            <w:r w:rsidR="009241AF">
              <w:rPr>
                <w:lang w:val="fr-BE"/>
              </w:rPr>
              <w:t xml:space="preserve"> (art. 8.9</w:t>
            </w:r>
            <w:r w:rsidR="00051C0C">
              <w:rPr>
                <w:lang w:val="fr-BE"/>
              </w:rPr>
              <w:t xml:space="preserve"> et s.</w:t>
            </w:r>
            <w:r w:rsidR="009241AF">
              <w:rPr>
                <w:lang w:val="fr-BE"/>
              </w:rPr>
              <w:t xml:space="preserve"> du « nouveau » Code civil)</w:t>
            </w:r>
            <w:r>
              <w:rPr>
                <w:lang w:val="fr-BE"/>
              </w:rPr>
              <w:t>. Il s’agit de conférer un caractère obligatoire à des règles qui sont, en principe, supplétives. Ainsi, une clause ne pourrait priver une partie de la possibilité de prouver des éléments factuels par toutes voies de droit ; de même l’on ne pourrait imposer un écrit recommandé ou authentique alors que selon le droit commun, un simple écrit est suffisant</w:t>
            </w:r>
            <w:r>
              <w:rPr>
                <w:rStyle w:val="Appelnotedebasdep"/>
                <w:lang w:val="fr-BE"/>
              </w:rPr>
              <w:footnoteReference w:id="59"/>
            </w:r>
            <w:r>
              <w:rPr>
                <w:lang w:val="fr-BE"/>
              </w:rPr>
              <w:t xml:space="preserve">. </w:t>
            </w:r>
          </w:p>
          <w:p w:rsidR="000F4391" w:rsidRDefault="00B06977" w:rsidP="008614CE">
            <w:pPr>
              <w:jc w:val="both"/>
              <w:rPr>
                <w:lang w:val="fr-BE"/>
              </w:rPr>
            </w:pPr>
            <w:r>
              <w:rPr>
                <w:lang w:val="fr-BE"/>
              </w:rPr>
              <w:t>Dans le cadre des relations B2B, l’on rappellera qu’en vertu l’article 1348</w:t>
            </w:r>
            <w:r>
              <w:rPr>
                <w:i/>
                <w:lang w:val="fr-BE"/>
              </w:rPr>
              <w:t>bis</w:t>
            </w:r>
            <w:r w:rsidR="00FB07A4" w:rsidRPr="00A86A87">
              <w:rPr>
                <w:rStyle w:val="Appelnotedebasdep"/>
                <w:lang w:val="fr-BE"/>
              </w:rPr>
              <w:footnoteReference w:id="60"/>
            </w:r>
            <w:r w:rsidRPr="00A86A87">
              <w:rPr>
                <w:lang w:val="fr-BE"/>
              </w:rPr>
              <w:t xml:space="preserve"> </w:t>
            </w:r>
            <w:r>
              <w:rPr>
                <w:lang w:val="fr-BE"/>
              </w:rPr>
              <w:t>du Code civil, la preuve entre entreprises peut être apportée par tous les moyens de droit (sauf si la loi en dispose autrement). Dès lors, la clause qui imposerait la preuve écrite dans ce cadre pourrait être considérée comme abusive</w:t>
            </w:r>
            <w:r w:rsidR="00B11392">
              <w:rPr>
                <w:rStyle w:val="Appelnotedebasdep"/>
                <w:lang w:val="fr-BE"/>
              </w:rPr>
              <w:footnoteReference w:id="61"/>
            </w:r>
            <w:r w:rsidR="00B43AFC">
              <w:rPr>
                <w:vertAlign w:val="superscript"/>
                <w:lang w:val="fr-BE"/>
              </w:rPr>
              <w:t>-</w:t>
            </w:r>
            <w:r w:rsidR="00B43AFC">
              <w:rPr>
                <w:rStyle w:val="Appelnotedebasdep"/>
                <w:lang w:val="fr-BE"/>
              </w:rPr>
              <w:footnoteReference w:id="62"/>
            </w:r>
            <w:r>
              <w:rPr>
                <w:lang w:val="fr-BE"/>
              </w:rPr>
              <w:t xml:space="preserve">, sauf si celui qui entend  se prévaloir de ladite stipulation parvient à renverser la présomption d’abus (la clause figure en effet dans la liste grise et autorise </w:t>
            </w:r>
            <w:r>
              <w:rPr>
                <w:lang w:val="fr-BE"/>
              </w:rPr>
              <w:lastRenderedPageBreak/>
              <w:t>la preuve contraire)</w:t>
            </w:r>
            <w:r>
              <w:rPr>
                <w:rStyle w:val="Appelnotedebasdep"/>
                <w:lang w:val="fr-BE"/>
              </w:rPr>
              <w:footnoteReference w:id="63"/>
            </w:r>
            <w:r>
              <w:rPr>
                <w:lang w:val="fr-BE"/>
              </w:rPr>
              <w:t>.</w:t>
            </w:r>
            <w:r w:rsidR="00D36015">
              <w:rPr>
                <w:lang w:val="fr-BE"/>
              </w:rPr>
              <w:t xml:space="preserve"> Toujours pour ce qui concerne les relations B2B, l’on relèvera que, selon certains auteurs, la clause qui inverse la charge de la preuve ne constitue pas une clause présumée abusive au sens de l’article VI.91/5, 7°, du CDE</w:t>
            </w:r>
            <w:r w:rsidR="00D36015">
              <w:rPr>
                <w:rStyle w:val="Appelnotedebasdep"/>
                <w:lang w:val="fr-BE"/>
              </w:rPr>
              <w:footnoteReference w:id="64"/>
            </w:r>
            <w:r w:rsidR="00D36015">
              <w:rPr>
                <w:lang w:val="fr-BE"/>
              </w:rPr>
              <w:t>.</w:t>
            </w:r>
          </w:p>
          <w:p w:rsidR="00886CB2" w:rsidRDefault="00886CB2" w:rsidP="008614CE">
            <w:pPr>
              <w:jc w:val="both"/>
              <w:rPr>
                <w:lang w:val="fr-BE"/>
              </w:rPr>
            </w:pPr>
            <w:r>
              <w:rPr>
                <w:lang w:val="fr-BE"/>
              </w:rPr>
              <w:t xml:space="preserve">L’on peut, en outre, épingler les deux différences suivantes entre les deux dispositions légales. </w:t>
            </w:r>
          </w:p>
          <w:p w:rsidR="00B06977" w:rsidRPr="00E344F6" w:rsidRDefault="000F4391" w:rsidP="008614CE">
            <w:pPr>
              <w:jc w:val="both"/>
              <w:rPr>
                <w:lang w:val="fr-BE"/>
              </w:rPr>
            </w:pPr>
            <w:r>
              <w:rPr>
                <w:lang w:val="fr-BE"/>
              </w:rPr>
              <w:t xml:space="preserve">D’une part, </w:t>
            </w:r>
            <w:r w:rsidR="00E344F6">
              <w:rPr>
                <w:lang w:val="fr-BE"/>
              </w:rPr>
              <w:t xml:space="preserve">l’article VI.83, 21°, du CDE ne condamne que les clauses qui limitent </w:t>
            </w:r>
            <w:r w:rsidR="00E344F6">
              <w:rPr>
                <w:i/>
                <w:lang w:val="fr-BE"/>
              </w:rPr>
              <w:t>de manière non autorisée</w:t>
            </w:r>
            <w:r w:rsidR="00E344F6">
              <w:rPr>
                <w:lang w:val="fr-BE"/>
              </w:rPr>
              <w:t xml:space="preserve"> les moyens de preuve. </w:t>
            </w:r>
            <w:r w:rsidR="00EA0AEF">
              <w:rPr>
                <w:lang w:val="fr-BE"/>
              </w:rPr>
              <w:t>La doctrine s’interroge toutefois sur la portée</w:t>
            </w:r>
            <w:r w:rsidR="00E95B14">
              <w:rPr>
                <w:lang w:val="fr-BE"/>
              </w:rPr>
              <w:t xml:space="preserve"> de ces termes</w:t>
            </w:r>
            <w:r w:rsidR="00B11392">
              <w:rPr>
                <w:lang w:val="fr-BE"/>
              </w:rPr>
              <w:t xml:space="preserve"> (lesquels ne sont pas repris dans la disposition relative aux relations B2B)</w:t>
            </w:r>
            <w:r w:rsidR="00E95B14">
              <w:rPr>
                <w:rStyle w:val="Appelnotedebasdep"/>
                <w:lang w:val="fr-BE"/>
              </w:rPr>
              <w:footnoteReference w:id="65"/>
            </w:r>
            <w:r w:rsidR="00E95B14">
              <w:rPr>
                <w:lang w:val="fr-BE"/>
              </w:rPr>
              <w:t xml:space="preserve">. </w:t>
            </w:r>
          </w:p>
          <w:p w:rsidR="00B06977" w:rsidRDefault="000F4391" w:rsidP="00525BB2">
            <w:pPr>
              <w:jc w:val="both"/>
              <w:rPr>
                <w:lang w:val="fr-BE"/>
              </w:rPr>
            </w:pPr>
            <w:r>
              <w:rPr>
                <w:lang w:val="fr-BE"/>
              </w:rPr>
              <w:t>D’autre part</w:t>
            </w:r>
            <w:r w:rsidR="00B06977">
              <w:rPr>
                <w:lang w:val="fr-BE"/>
              </w:rPr>
              <w:t>, l’on relèvera que l’art. VI.83, 21°</w:t>
            </w:r>
            <w:r w:rsidR="0015782A">
              <w:rPr>
                <w:lang w:val="fr-BE"/>
              </w:rPr>
              <w:t>,</w:t>
            </w:r>
            <w:r w:rsidR="00B06977">
              <w:rPr>
                <w:lang w:val="fr-BE"/>
              </w:rPr>
              <w:t xml:space="preserve"> </w:t>
            </w:r>
            <w:r w:rsidR="00B06977">
              <w:rPr>
                <w:i/>
                <w:lang w:val="fr-BE"/>
              </w:rPr>
              <w:t>in fine</w:t>
            </w:r>
            <w:r w:rsidR="0015782A">
              <w:rPr>
                <w:lang w:val="fr-BE"/>
              </w:rPr>
              <w:t>, du</w:t>
            </w:r>
            <w:r w:rsidR="00B06977">
              <w:rPr>
                <w:lang w:val="fr-BE"/>
              </w:rPr>
              <w:t xml:space="preserve"> CDE, qui ne vaut donc que dans le cadre des relations B2C, prohibe </w:t>
            </w:r>
            <w:r w:rsidR="00476B25">
              <w:rPr>
                <w:lang w:val="fr-BE"/>
              </w:rPr>
              <w:t>également</w:t>
            </w:r>
            <w:r w:rsidR="00525BB2">
              <w:rPr>
                <w:lang w:val="fr-BE"/>
              </w:rPr>
              <w:t xml:space="preserve"> </w:t>
            </w:r>
            <w:r w:rsidR="00B06977" w:rsidRPr="00613CE5">
              <w:rPr>
                <w:lang w:val="fr-BE"/>
              </w:rPr>
              <w:t>les clauses</w:t>
            </w:r>
            <w:r w:rsidR="00B06977">
              <w:rPr>
                <w:lang w:val="fr-BE"/>
              </w:rPr>
              <w:t xml:space="preserve"> </w:t>
            </w:r>
            <w:r w:rsidR="00B06977" w:rsidRPr="00613CE5">
              <w:rPr>
                <w:lang w:val="fr-BE"/>
              </w:rPr>
              <w:t>imposant au consommateur une charge de la preuve qui incombe normalement à une</w:t>
            </w:r>
            <w:r w:rsidR="00B06977">
              <w:rPr>
                <w:lang w:val="fr-BE"/>
              </w:rPr>
              <w:t xml:space="preserve"> </w:t>
            </w:r>
            <w:r w:rsidR="00B06977" w:rsidRPr="00613CE5">
              <w:rPr>
                <w:lang w:val="fr-BE"/>
              </w:rPr>
              <w:t>autre partie au contrat</w:t>
            </w:r>
            <w:r w:rsidR="00B06977">
              <w:rPr>
                <w:lang w:val="fr-BE"/>
              </w:rPr>
              <w:t>.</w:t>
            </w:r>
          </w:p>
          <w:p w:rsidR="00A3740E" w:rsidRDefault="00A3740E" w:rsidP="00525BB2">
            <w:pPr>
              <w:jc w:val="both"/>
              <w:rPr>
                <w:lang w:val="fr-BE"/>
              </w:rPr>
            </w:pPr>
          </w:p>
          <w:p w:rsidR="00A3740E" w:rsidRDefault="00A3740E" w:rsidP="00525BB2">
            <w:pPr>
              <w:jc w:val="both"/>
              <w:rPr>
                <w:lang w:val="fr-BE"/>
              </w:rPr>
            </w:pPr>
            <w:r>
              <w:rPr>
                <w:lang w:val="fr-BE"/>
              </w:rPr>
              <w:t xml:space="preserve">Nous renvoyons le lecteur à la contribution d’A. </w:t>
            </w:r>
            <w:proofErr w:type="spellStart"/>
            <w:r>
              <w:rPr>
                <w:lang w:val="fr-BE"/>
              </w:rPr>
              <w:t>Duriau</w:t>
            </w:r>
            <w:proofErr w:type="spellEnd"/>
            <w:r>
              <w:rPr>
                <w:lang w:val="fr-BE"/>
              </w:rPr>
              <w:t xml:space="preserve">, dans le présent ouvrage, sur les </w:t>
            </w:r>
            <w:r>
              <w:rPr>
                <w:lang w:val="fr-BE"/>
              </w:rPr>
              <w:lastRenderedPageBreak/>
              <w:t xml:space="preserve">clauses relatives à la preuve et au règlement des différends. </w:t>
            </w:r>
          </w:p>
        </w:tc>
      </w:tr>
      <w:tr w:rsidR="00B06977" w:rsidRPr="00151932" w:rsidTr="00B06977">
        <w:tc>
          <w:tcPr>
            <w:tcW w:w="4248" w:type="dxa"/>
          </w:tcPr>
          <w:p w:rsidR="00B06977" w:rsidRDefault="00E05D52" w:rsidP="001C7680">
            <w:pPr>
              <w:jc w:val="both"/>
              <w:rPr>
                <w:lang w:val="fr-BE"/>
              </w:rPr>
            </w:pPr>
            <w:r>
              <w:rPr>
                <w:lang w:val="fr-BE"/>
              </w:rPr>
              <w:lastRenderedPageBreak/>
              <w:t xml:space="preserve">VI.83, 22°, du CDE </w:t>
            </w:r>
            <w:r w:rsidR="00B06977">
              <w:rPr>
                <w:lang w:val="fr-BE"/>
              </w:rPr>
              <w:t>: « </w:t>
            </w:r>
            <w:r w:rsidR="00B06977" w:rsidRPr="001C7680">
              <w:rPr>
                <w:i/>
                <w:lang w:val="fr-BE"/>
              </w:rPr>
              <w:t>faire renoncer le consommateur, en cas de conflit, à tout moyen de recours contre l</w:t>
            </w:r>
            <w:r w:rsidR="00B06977">
              <w:rPr>
                <w:i/>
                <w:lang w:val="fr-BE"/>
              </w:rPr>
              <w:t>’</w:t>
            </w:r>
            <w:r w:rsidR="00B06977" w:rsidRPr="001C7680">
              <w:rPr>
                <w:i/>
                <w:lang w:val="fr-BE"/>
              </w:rPr>
              <w:t>entreprise</w:t>
            </w:r>
            <w:r w:rsidR="00B06977">
              <w:rPr>
                <w:lang w:val="fr-BE"/>
              </w:rPr>
              <w:t> »</w:t>
            </w:r>
          </w:p>
          <w:p w:rsidR="00B06977" w:rsidRDefault="00B06977" w:rsidP="001C7680">
            <w:pPr>
              <w:jc w:val="both"/>
              <w:rPr>
                <w:lang w:val="fr-BE"/>
              </w:rPr>
            </w:pPr>
          </w:p>
          <w:p w:rsidR="00B06977" w:rsidRDefault="00B06977" w:rsidP="00E7773C">
            <w:pPr>
              <w:jc w:val="both"/>
              <w:rPr>
                <w:lang w:val="fr-BE"/>
              </w:rPr>
            </w:pPr>
            <w:r>
              <w:rPr>
                <w:lang w:val="fr-BE"/>
              </w:rPr>
              <w:t xml:space="preserve">Clause figurant dans la </w:t>
            </w:r>
            <w:r w:rsidRPr="00E7773C">
              <w:rPr>
                <w:b/>
                <w:lang w:val="fr-BE"/>
              </w:rPr>
              <w:t>liste noire</w:t>
            </w:r>
            <w:r>
              <w:rPr>
                <w:lang w:val="fr-BE"/>
              </w:rPr>
              <w:t>, abusive en toutes circonstances</w:t>
            </w:r>
          </w:p>
          <w:p w:rsidR="00094E56" w:rsidRDefault="00094E56" w:rsidP="00E7773C">
            <w:pPr>
              <w:jc w:val="both"/>
              <w:rPr>
                <w:lang w:val="fr-BE"/>
              </w:rPr>
            </w:pPr>
          </w:p>
          <w:p w:rsidR="00094E56" w:rsidRPr="00525BB2" w:rsidRDefault="00094E56" w:rsidP="00E7773C">
            <w:pPr>
              <w:jc w:val="both"/>
              <w:rPr>
                <w:i/>
                <w:lang w:val="fr-BE"/>
              </w:rPr>
            </w:pPr>
          </w:p>
        </w:tc>
        <w:tc>
          <w:tcPr>
            <w:tcW w:w="4252" w:type="dxa"/>
          </w:tcPr>
          <w:p w:rsidR="00B06977" w:rsidRDefault="00B06977" w:rsidP="00E7773C">
            <w:pPr>
              <w:jc w:val="both"/>
              <w:rPr>
                <w:lang w:val="fr-BE"/>
              </w:rPr>
            </w:pPr>
            <w:r>
              <w:rPr>
                <w:lang w:val="fr-BE"/>
              </w:rPr>
              <w:t>VI</w:t>
            </w:r>
            <w:r w:rsidR="00E05D52">
              <w:rPr>
                <w:lang w:val="fr-BE"/>
              </w:rPr>
              <w:t xml:space="preserve">.91/4, 3°, du CDE </w:t>
            </w:r>
            <w:r>
              <w:rPr>
                <w:lang w:val="fr-BE"/>
              </w:rPr>
              <w:t>: « </w:t>
            </w:r>
            <w:r w:rsidRPr="001C7680">
              <w:rPr>
                <w:i/>
                <w:lang w:val="fr-BE"/>
              </w:rPr>
              <w:t>en cas de conflit, faire renoncer l’autre partie à tout moyen de recours contre l’entreprise</w:t>
            </w:r>
            <w:r>
              <w:rPr>
                <w:lang w:val="fr-BE"/>
              </w:rPr>
              <w:t xml:space="preserve"> ». </w:t>
            </w:r>
          </w:p>
          <w:p w:rsidR="00B06977" w:rsidRDefault="00B06977" w:rsidP="00E7773C">
            <w:pPr>
              <w:jc w:val="both"/>
              <w:rPr>
                <w:lang w:val="fr-BE"/>
              </w:rPr>
            </w:pPr>
          </w:p>
          <w:p w:rsidR="00B06977" w:rsidRDefault="00B06977" w:rsidP="00E7773C">
            <w:pPr>
              <w:jc w:val="both"/>
              <w:rPr>
                <w:lang w:val="fr-BE"/>
              </w:rPr>
            </w:pPr>
            <w:r>
              <w:rPr>
                <w:lang w:val="fr-BE"/>
              </w:rPr>
              <w:t xml:space="preserve">Clause figurant dans la </w:t>
            </w:r>
            <w:r w:rsidRPr="00E7773C">
              <w:rPr>
                <w:b/>
                <w:lang w:val="fr-BE"/>
              </w:rPr>
              <w:t>liste noire</w:t>
            </w:r>
            <w:r>
              <w:rPr>
                <w:lang w:val="fr-BE"/>
              </w:rPr>
              <w:t>, abusive en toutes circonstances</w:t>
            </w:r>
          </w:p>
          <w:p w:rsidR="00B06977" w:rsidRDefault="00B06977" w:rsidP="00E7773C">
            <w:pPr>
              <w:jc w:val="both"/>
              <w:rPr>
                <w:lang w:val="fr-BE"/>
              </w:rPr>
            </w:pPr>
          </w:p>
        </w:tc>
        <w:tc>
          <w:tcPr>
            <w:tcW w:w="4395" w:type="dxa"/>
          </w:tcPr>
          <w:p w:rsidR="00B06977" w:rsidRDefault="0015782A" w:rsidP="00E7773C">
            <w:pPr>
              <w:jc w:val="both"/>
              <w:rPr>
                <w:lang w:val="fr-BE"/>
              </w:rPr>
            </w:pPr>
            <w:r>
              <w:rPr>
                <w:lang w:val="fr-BE"/>
              </w:rPr>
              <w:t xml:space="preserve">Ces dispositions </w:t>
            </w:r>
            <w:r w:rsidR="00B06977">
              <w:rPr>
                <w:lang w:val="fr-BE"/>
              </w:rPr>
              <w:t>vise</w:t>
            </w:r>
            <w:r>
              <w:rPr>
                <w:lang w:val="fr-BE"/>
              </w:rPr>
              <w:t>nt</w:t>
            </w:r>
            <w:r w:rsidR="00B06977">
              <w:rPr>
                <w:lang w:val="fr-BE"/>
              </w:rPr>
              <w:t xml:space="preserve"> à interdire les clauses par lesquelles l’entreprise exclut tous les moyens de recours de l’autre partie en cas de conflit. En effet, de telles clauses mettent cette dernière à la merci de son cocontractant et peuvent même aller jusqu’à la priver de son droit à aller en justice, lequel est pourtant d’ordre public.</w:t>
            </w:r>
          </w:p>
          <w:p w:rsidR="00B06977" w:rsidRDefault="00B06977" w:rsidP="00C9732A">
            <w:pPr>
              <w:jc w:val="both"/>
              <w:rPr>
                <w:lang w:val="fr-BE"/>
              </w:rPr>
            </w:pPr>
            <w:r>
              <w:rPr>
                <w:lang w:val="fr-BE"/>
              </w:rPr>
              <w:t xml:space="preserve">Sont dès lors interdites les clauses qui </w:t>
            </w:r>
            <w:r>
              <w:rPr>
                <w:i/>
                <w:lang w:val="fr-BE"/>
              </w:rPr>
              <w:t xml:space="preserve">excluent </w:t>
            </w:r>
            <w:r>
              <w:rPr>
                <w:lang w:val="fr-BE"/>
              </w:rPr>
              <w:t>l’accès à un juge. En revanche, les clauses qui organisent le recours ou modalisent celui-ci ne sont pas prohibées par la disposition</w:t>
            </w:r>
            <w:r w:rsidR="005E6A0F">
              <w:rPr>
                <w:rStyle w:val="Appelnotedebasdep"/>
                <w:lang w:val="fr-BE"/>
              </w:rPr>
              <w:footnoteReference w:id="66"/>
            </w:r>
            <w:r>
              <w:rPr>
                <w:lang w:val="fr-BE"/>
              </w:rPr>
              <w:t xml:space="preserve">. </w:t>
            </w:r>
          </w:p>
          <w:p w:rsidR="00FB07A4" w:rsidRDefault="00FB07A4" w:rsidP="00C9732A">
            <w:pPr>
              <w:jc w:val="both"/>
              <w:rPr>
                <w:lang w:val="fr-BE"/>
              </w:rPr>
            </w:pPr>
          </w:p>
          <w:p w:rsidR="00FB07A4" w:rsidRDefault="00FB07A4" w:rsidP="00FB07A4">
            <w:pPr>
              <w:jc w:val="both"/>
              <w:rPr>
                <w:lang w:val="fr-BE"/>
              </w:rPr>
            </w:pPr>
            <w:r>
              <w:rPr>
                <w:lang w:val="fr-BE"/>
              </w:rPr>
              <w:t>Ainsi, un juge de paix</w:t>
            </w:r>
            <w:r>
              <w:rPr>
                <w:rStyle w:val="Appelnotedebasdep"/>
                <w:lang w:val="fr-BE"/>
              </w:rPr>
              <w:footnoteReference w:id="67"/>
            </w:r>
            <w:r>
              <w:rPr>
                <w:lang w:val="fr-BE"/>
              </w:rPr>
              <w:t xml:space="preserve"> a considéré que la clause</w:t>
            </w:r>
            <w:r w:rsidRPr="00FB07A4">
              <w:rPr>
                <w:lang w:val="fr-BE"/>
              </w:rPr>
              <w:t xml:space="preserve"> stipulant que, dans un bail entre une entreprise-bailleresse et un consommateur-locataire, la décision d’un tiers concernant</w:t>
            </w:r>
            <w:r>
              <w:rPr>
                <w:lang w:val="fr-BE"/>
              </w:rPr>
              <w:t xml:space="preserve"> </w:t>
            </w:r>
            <w:r w:rsidRPr="00FB07A4">
              <w:rPr>
                <w:lang w:val="fr-BE"/>
              </w:rPr>
              <w:t>l’estimation du dommage lors du départ du locataire ne pouvait être attaquée</w:t>
            </w:r>
            <w:r>
              <w:rPr>
                <w:lang w:val="fr-BE"/>
              </w:rPr>
              <w:t xml:space="preserve"> </w:t>
            </w:r>
            <w:r w:rsidRPr="00FB07A4">
              <w:rPr>
                <w:lang w:val="fr-BE"/>
              </w:rPr>
              <w:t>devant le juge</w:t>
            </w:r>
            <w:r>
              <w:rPr>
                <w:lang w:val="fr-BE"/>
              </w:rPr>
              <w:t xml:space="preserve">, </w:t>
            </w:r>
            <w:r w:rsidRPr="00FB07A4">
              <w:rPr>
                <w:lang w:val="fr-BE"/>
              </w:rPr>
              <w:t>était contr</w:t>
            </w:r>
            <w:r>
              <w:rPr>
                <w:lang w:val="fr-BE"/>
              </w:rPr>
              <w:t>aire à l’ancien article 74, 22°,</w:t>
            </w:r>
            <w:r w:rsidRPr="00FB07A4">
              <w:rPr>
                <w:lang w:val="fr-BE"/>
              </w:rPr>
              <w:t xml:space="preserve"> de la LPMC (aujourd’hui</w:t>
            </w:r>
            <w:r>
              <w:rPr>
                <w:lang w:val="fr-BE"/>
              </w:rPr>
              <w:t xml:space="preserve"> art. VI.83, 22°, </w:t>
            </w:r>
            <w:r w:rsidR="00B71548">
              <w:rPr>
                <w:lang w:val="fr-BE"/>
              </w:rPr>
              <w:t xml:space="preserve">du </w:t>
            </w:r>
            <w:r w:rsidRPr="00FB07A4">
              <w:rPr>
                <w:lang w:val="fr-BE"/>
              </w:rPr>
              <w:t>CDE)</w:t>
            </w:r>
            <w:r>
              <w:rPr>
                <w:lang w:val="fr-BE"/>
              </w:rPr>
              <w:t>.</w:t>
            </w:r>
          </w:p>
          <w:p w:rsidR="00B06977" w:rsidRDefault="00B06977" w:rsidP="00C9732A">
            <w:pPr>
              <w:jc w:val="both"/>
              <w:rPr>
                <w:lang w:val="fr-BE"/>
              </w:rPr>
            </w:pPr>
          </w:p>
          <w:p w:rsidR="00B06977" w:rsidRDefault="00B06977" w:rsidP="00C9732A">
            <w:pPr>
              <w:jc w:val="both"/>
              <w:rPr>
                <w:lang w:val="fr-BE"/>
              </w:rPr>
            </w:pPr>
            <w:r>
              <w:rPr>
                <w:lang w:val="fr-BE"/>
              </w:rPr>
              <w:t>La clause d’abandon de recours qui apparait dans le secteur des assurances ne tombe pas dans cette catégorie de clauses abusives.</w:t>
            </w:r>
          </w:p>
          <w:p w:rsidR="00B06977" w:rsidRDefault="00B06977" w:rsidP="00306500">
            <w:pPr>
              <w:jc w:val="both"/>
              <w:rPr>
                <w:lang w:val="fr-BE"/>
              </w:rPr>
            </w:pPr>
            <w:r>
              <w:rPr>
                <w:lang w:val="fr-BE"/>
              </w:rPr>
              <w:lastRenderedPageBreak/>
              <w:t>Les travaux préparatoires de loi du 4 avril 2019 (visant les relations B2B) précisent que les clauses obligeant l’autre partie à accepter l’arbitrage</w:t>
            </w:r>
            <w:r w:rsidR="00306500">
              <w:rPr>
                <w:rStyle w:val="Appelnotedebasdep"/>
                <w:lang w:val="fr-BE"/>
              </w:rPr>
              <w:footnoteReference w:id="68"/>
            </w:r>
            <w:r>
              <w:rPr>
                <w:lang w:val="fr-BE"/>
              </w:rPr>
              <w:t xml:space="preserve"> ou lui interdisant d’intenter une action collective sont abusives. Pour ce qui concerne la validité des clauses d’arbitrage dans le cadre de relations B2C, il convient de tenir compte de l’article XVI.26/2, 2°, du CDE</w:t>
            </w:r>
            <w:r w:rsidR="00024E59">
              <w:rPr>
                <w:rStyle w:val="Appelnotedebasdep"/>
                <w:lang w:val="fr-BE"/>
              </w:rPr>
              <w:footnoteReference w:id="69"/>
            </w:r>
            <w:r>
              <w:rPr>
                <w:lang w:val="fr-BE"/>
              </w:rPr>
              <w:t xml:space="preserve"> qui prévoit que l’accord conclu entre l’entreprise et le consommateur, avant la survenance du litige, qui impose tel mode de règlement extrajudiciaire (par exemple, un arbitrage), n’est pas contraignant pour le consommateur.  </w:t>
            </w:r>
          </w:p>
          <w:p w:rsidR="00A3740E" w:rsidRDefault="00A3740E" w:rsidP="00306500">
            <w:pPr>
              <w:jc w:val="both"/>
              <w:rPr>
                <w:lang w:val="fr-BE"/>
              </w:rPr>
            </w:pPr>
          </w:p>
          <w:p w:rsidR="00A3740E" w:rsidRDefault="00A3740E" w:rsidP="00306500">
            <w:pPr>
              <w:jc w:val="both"/>
              <w:rPr>
                <w:lang w:val="fr-BE"/>
              </w:rPr>
            </w:pPr>
            <w:r>
              <w:rPr>
                <w:lang w:val="fr-BE"/>
              </w:rPr>
              <w:t xml:space="preserve">Nous renvoyons le lecteur à la contribution d’A. </w:t>
            </w:r>
            <w:proofErr w:type="spellStart"/>
            <w:r>
              <w:rPr>
                <w:lang w:val="fr-BE"/>
              </w:rPr>
              <w:t>Duriau</w:t>
            </w:r>
            <w:proofErr w:type="spellEnd"/>
            <w:r>
              <w:rPr>
                <w:lang w:val="fr-BE"/>
              </w:rPr>
              <w:t>, dans le présent ouvrage, sur les clauses relatives à la preuve et au règlement des différends.</w:t>
            </w:r>
          </w:p>
        </w:tc>
      </w:tr>
      <w:tr w:rsidR="00B06977" w:rsidRPr="00151932" w:rsidTr="00B06977">
        <w:tc>
          <w:tcPr>
            <w:tcW w:w="4248" w:type="dxa"/>
          </w:tcPr>
          <w:p w:rsidR="00B06977" w:rsidRDefault="00E05D52" w:rsidP="00EC765C">
            <w:pPr>
              <w:jc w:val="both"/>
              <w:rPr>
                <w:lang w:val="fr-BE"/>
              </w:rPr>
            </w:pPr>
            <w:r>
              <w:rPr>
                <w:lang w:val="fr-BE"/>
              </w:rPr>
              <w:lastRenderedPageBreak/>
              <w:t xml:space="preserve">VI.83, 23°, du CDE </w:t>
            </w:r>
            <w:r w:rsidR="00B06977">
              <w:rPr>
                <w:lang w:val="fr-BE"/>
              </w:rPr>
              <w:t>: « </w:t>
            </w:r>
            <w:r w:rsidR="00B06977" w:rsidRPr="00EC765C">
              <w:rPr>
                <w:i/>
                <w:lang w:val="fr-BE"/>
              </w:rPr>
              <w:t xml:space="preserve">désigner un juge autre que celui désigné par l’article 624, 1°, 2° et 4°, du Code judiciaire, sans préjudice de l’application du Règlement (UE) n° 1215/2012 du Parlement </w:t>
            </w:r>
            <w:r w:rsidR="00B06977" w:rsidRPr="00EC765C">
              <w:rPr>
                <w:i/>
                <w:lang w:val="fr-BE"/>
              </w:rPr>
              <w:lastRenderedPageBreak/>
              <w:t>européen et du Conseil du 12 décembre 2012 concernant la compétence judiciaire, la reconnaissance et l’exécution des décisions en matière civile et commerciale</w:t>
            </w:r>
            <w:r w:rsidR="00B06977">
              <w:rPr>
                <w:lang w:val="fr-BE"/>
              </w:rPr>
              <w:t> »</w:t>
            </w:r>
          </w:p>
          <w:p w:rsidR="00B06977" w:rsidRDefault="00B06977" w:rsidP="00EC765C">
            <w:pPr>
              <w:jc w:val="both"/>
              <w:rPr>
                <w:lang w:val="fr-BE"/>
              </w:rPr>
            </w:pPr>
          </w:p>
          <w:p w:rsidR="00B06977" w:rsidRDefault="00B06977" w:rsidP="001C7680">
            <w:pPr>
              <w:jc w:val="both"/>
              <w:rPr>
                <w:lang w:val="fr-BE"/>
              </w:rPr>
            </w:pPr>
            <w:r>
              <w:rPr>
                <w:lang w:val="fr-BE"/>
              </w:rPr>
              <w:t xml:space="preserve">Clause figurant dans la </w:t>
            </w:r>
            <w:r w:rsidRPr="00E7773C">
              <w:rPr>
                <w:b/>
                <w:lang w:val="fr-BE"/>
              </w:rPr>
              <w:t>liste noire</w:t>
            </w:r>
            <w:r>
              <w:rPr>
                <w:lang w:val="fr-BE"/>
              </w:rPr>
              <w:t>, abusive en toutes circonstances</w:t>
            </w:r>
          </w:p>
          <w:p w:rsidR="00094E56" w:rsidRDefault="00094E56" w:rsidP="001C7680">
            <w:pPr>
              <w:jc w:val="both"/>
              <w:rPr>
                <w:lang w:val="fr-BE"/>
              </w:rPr>
            </w:pPr>
          </w:p>
          <w:p w:rsidR="00094E56" w:rsidRPr="00525BB2" w:rsidRDefault="00094E56" w:rsidP="000F2F80">
            <w:pPr>
              <w:jc w:val="both"/>
              <w:rPr>
                <w:i/>
                <w:lang w:val="fr-BE"/>
              </w:rPr>
            </w:pPr>
          </w:p>
        </w:tc>
        <w:tc>
          <w:tcPr>
            <w:tcW w:w="4252" w:type="dxa"/>
          </w:tcPr>
          <w:p w:rsidR="00B06977" w:rsidRPr="001C7680" w:rsidRDefault="00B06977" w:rsidP="00E7773C">
            <w:pPr>
              <w:jc w:val="both"/>
              <w:rPr>
                <w:lang w:val="fr-BE"/>
              </w:rPr>
            </w:pPr>
          </w:p>
        </w:tc>
        <w:tc>
          <w:tcPr>
            <w:tcW w:w="4395" w:type="dxa"/>
          </w:tcPr>
          <w:p w:rsidR="00B06977" w:rsidRDefault="00B06977" w:rsidP="008E71A5">
            <w:pPr>
              <w:jc w:val="both"/>
              <w:rPr>
                <w:lang w:val="fr-BE"/>
              </w:rPr>
            </w:pPr>
            <w:r>
              <w:rPr>
                <w:lang w:val="fr-BE"/>
              </w:rPr>
              <w:t xml:space="preserve">La compétence territoriale au niveau national est régie notamment par les dispositions de l’article 624 du Code judiciaire qui offre au demandeur le choix d’introduire sa demande devant : </w:t>
            </w:r>
          </w:p>
          <w:p w:rsidR="00B06977" w:rsidRDefault="00B06977" w:rsidP="008E71A5">
            <w:pPr>
              <w:pStyle w:val="Paragraphedeliste"/>
              <w:numPr>
                <w:ilvl w:val="0"/>
                <w:numId w:val="1"/>
              </w:numPr>
              <w:jc w:val="both"/>
              <w:rPr>
                <w:lang w:val="fr-BE"/>
              </w:rPr>
            </w:pPr>
            <w:r>
              <w:rPr>
                <w:lang w:val="fr-BE"/>
              </w:rPr>
              <w:lastRenderedPageBreak/>
              <w:t xml:space="preserve">soit </w:t>
            </w:r>
            <w:r w:rsidRPr="008E71A5">
              <w:rPr>
                <w:lang w:val="fr-BE"/>
              </w:rPr>
              <w:t>le jug</w:t>
            </w:r>
            <w:r>
              <w:rPr>
                <w:lang w:val="fr-BE"/>
              </w:rPr>
              <w:t>e du domicile du défendeur ou d’</w:t>
            </w:r>
            <w:r w:rsidRPr="008E71A5">
              <w:rPr>
                <w:lang w:val="fr-BE"/>
              </w:rPr>
              <w:t>un des défendeurs</w:t>
            </w:r>
            <w:r>
              <w:rPr>
                <w:lang w:val="fr-BE"/>
              </w:rPr>
              <w:t xml:space="preserve"> (1°) ; </w:t>
            </w:r>
          </w:p>
          <w:p w:rsidR="00B06977" w:rsidRDefault="00B06977" w:rsidP="008E71A5">
            <w:pPr>
              <w:pStyle w:val="Paragraphedeliste"/>
              <w:numPr>
                <w:ilvl w:val="0"/>
                <w:numId w:val="1"/>
              </w:numPr>
              <w:jc w:val="both"/>
              <w:rPr>
                <w:lang w:val="fr-BE"/>
              </w:rPr>
            </w:pPr>
            <w:r>
              <w:rPr>
                <w:lang w:val="fr-BE"/>
              </w:rPr>
              <w:t xml:space="preserve">soit devant le </w:t>
            </w:r>
            <w:r w:rsidRPr="008E71A5">
              <w:rPr>
                <w:lang w:val="fr-BE"/>
              </w:rPr>
              <w:t>juge du lieu dans lequel les obligations en litige ou l</w:t>
            </w:r>
            <w:r>
              <w:rPr>
                <w:lang w:val="fr-BE"/>
              </w:rPr>
              <w:t>’</w:t>
            </w:r>
            <w:r w:rsidR="00195E48">
              <w:rPr>
                <w:lang w:val="fr-BE"/>
              </w:rPr>
              <w:t>une d’</w:t>
            </w:r>
            <w:r w:rsidRPr="008E71A5">
              <w:rPr>
                <w:lang w:val="fr-BE"/>
              </w:rPr>
              <w:t>elles sont nées ou dans lequel elles sont, ont été ou doivent être exécutées</w:t>
            </w:r>
            <w:r>
              <w:rPr>
                <w:lang w:val="fr-BE"/>
              </w:rPr>
              <w:t xml:space="preserve"> (2°) ; </w:t>
            </w:r>
          </w:p>
          <w:p w:rsidR="00B06977" w:rsidRPr="008E71A5" w:rsidRDefault="00B06977" w:rsidP="008E71A5">
            <w:pPr>
              <w:pStyle w:val="Paragraphedeliste"/>
              <w:numPr>
                <w:ilvl w:val="0"/>
                <w:numId w:val="1"/>
              </w:numPr>
              <w:jc w:val="both"/>
              <w:rPr>
                <w:lang w:val="fr-BE"/>
              </w:rPr>
            </w:pPr>
            <w:r>
              <w:rPr>
                <w:lang w:val="fr-BE"/>
              </w:rPr>
              <w:t>soit devant le juge du lieu où l’</w:t>
            </w:r>
            <w:r w:rsidRPr="008E71A5">
              <w:rPr>
                <w:lang w:val="fr-BE"/>
              </w:rPr>
              <w:t xml:space="preserve">huissier de justice a parlé à la personne du défendeur si celui-ci ni, le cas </w:t>
            </w:r>
            <w:r>
              <w:rPr>
                <w:lang w:val="fr-BE"/>
              </w:rPr>
              <w:t>échéant, aucun des défendeurs n’</w:t>
            </w:r>
            <w:r w:rsidRPr="008E71A5">
              <w:rPr>
                <w:lang w:val="fr-BE"/>
              </w:rPr>
              <w:t>a</w:t>
            </w:r>
            <w:r w:rsidR="006B3A33">
              <w:rPr>
                <w:lang w:val="fr-BE"/>
              </w:rPr>
              <w:t xml:space="preserve"> de domicile en Belgique ou à l’</w:t>
            </w:r>
            <w:r w:rsidRPr="008E71A5">
              <w:rPr>
                <w:lang w:val="fr-BE"/>
              </w:rPr>
              <w:t>étranger</w:t>
            </w:r>
            <w:r>
              <w:rPr>
                <w:lang w:val="fr-BE"/>
              </w:rPr>
              <w:t xml:space="preserve"> (4°).</w:t>
            </w:r>
          </w:p>
          <w:p w:rsidR="00B06977" w:rsidRDefault="00B06977" w:rsidP="008E71A5">
            <w:pPr>
              <w:jc w:val="both"/>
              <w:rPr>
                <w:lang w:val="fr-BE"/>
              </w:rPr>
            </w:pPr>
          </w:p>
          <w:p w:rsidR="00B06977" w:rsidRDefault="00B06977" w:rsidP="00313D14">
            <w:pPr>
              <w:jc w:val="both"/>
              <w:rPr>
                <w:lang w:val="fr-BE"/>
              </w:rPr>
            </w:pPr>
            <w:r>
              <w:rPr>
                <w:lang w:val="fr-BE"/>
              </w:rPr>
              <w:t>L’article VI.83, 23°, du CDE s’applique non seulement à la clause qui permet à</w:t>
            </w:r>
            <w:r w:rsidRPr="008E71A5">
              <w:rPr>
                <w:i/>
                <w:lang w:val="fr-BE"/>
              </w:rPr>
              <w:t xml:space="preserve"> l’entreprise</w:t>
            </w:r>
            <w:r>
              <w:rPr>
                <w:lang w:val="fr-BE"/>
              </w:rPr>
              <w:t xml:space="preserve"> d’introduire une action devant un autre juge que celui prévu dans l’une des hypothèses visées </w:t>
            </w:r>
            <w:r w:rsidR="007E05D0">
              <w:rPr>
                <w:lang w:val="fr-BE"/>
              </w:rPr>
              <w:t xml:space="preserve">par l’article 624, 1°, 2° et 4°, </w:t>
            </w:r>
            <w:r>
              <w:rPr>
                <w:lang w:val="fr-BE"/>
              </w:rPr>
              <w:t xml:space="preserve">du Code judiciaire, mais aussi à la stipulation qui imposerait au </w:t>
            </w:r>
            <w:r w:rsidRPr="008E71A5">
              <w:rPr>
                <w:i/>
                <w:lang w:val="fr-BE"/>
              </w:rPr>
              <w:t>consommateur</w:t>
            </w:r>
            <w:r>
              <w:rPr>
                <w:lang w:val="fr-BE"/>
              </w:rPr>
              <w:t xml:space="preserve"> d’agir devant une juridiction différente de de celle autorisée par l’une des dispositions précitées</w:t>
            </w:r>
            <w:r w:rsidR="000600BC">
              <w:rPr>
                <w:rStyle w:val="Appelnotedebasdep"/>
                <w:lang w:val="fr-BE"/>
              </w:rPr>
              <w:footnoteReference w:id="70"/>
            </w:r>
            <w:r>
              <w:rPr>
                <w:lang w:val="fr-BE"/>
              </w:rPr>
              <w:t xml:space="preserve">. </w:t>
            </w:r>
          </w:p>
          <w:p w:rsidR="00B06977" w:rsidRDefault="00B06977" w:rsidP="00313D14">
            <w:pPr>
              <w:jc w:val="both"/>
              <w:rPr>
                <w:lang w:val="fr-BE"/>
              </w:rPr>
            </w:pPr>
          </w:p>
          <w:p w:rsidR="00B06977" w:rsidRDefault="00B06977" w:rsidP="00136DFE">
            <w:pPr>
              <w:jc w:val="both"/>
              <w:rPr>
                <w:lang w:val="fr-BE"/>
              </w:rPr>
            </w:pPr>
            <w:r>
              <w:rPr>
                <w:lang w:val="fr-BE"/>
              </w:rPr>
              <w:lastRenderedPageBreak/>
              <w:t xml:space="preserve">Si la situation présente un élément d’extranéité, il convient, le cas échéant, de tenir compte du </w:t>
            </w:r>
            <w:r w:rsidRPr="006422FC">
              <w:rPr>
                <w:lang w:val="fr-BE"/>
              </w:rPr>
              <w:t>Règlement (UE) n° 1215/2012 du Parlement européen et du Conseil du 12 décembre 2012 concernant la compétence judiciaire, la reconnaissance et l’exécution des décisions en matière civile et commerciale</w:t>
            </w:r>
            <w:r>
              <w:rPr>
                <w:lang w:val="fr-BE"/>
              </w:rPr>
              <w:t xml:space="preserve"> dont, notamment, les articles 17 à 19 relatifs à la compétence en matière de contrats conclus avec un consommateur, ainsi que l’article 25 (prorogation de compétence). </w:t>
            </w:r>
          </w:p>
          <w:p w:rsidR="00A3740E" w:rsidRDefault="00A3740E" w:rsidP="00136DFE">
            <w:pPr>
              <w:jc w:val="both"/>
              <w:rPr>
                <w:lang w:val="fr-BE"/>
              </w:rPr>
            </w:pPr>
            <w:r>
              <w:rPr>
                <w:lang w:val="fr-BE"/>
              </w:rPr>
              <w:t xml:space="preserve">Nous renvoyons le lecteur à la contribution d’A. </w:t>
            </w:r>
            <w:proofErr w:type="spellStart"/>
            <w:r>
              <w:rPr>
                <w:lang w:val="fr-BE"/>
              </w:rPr>
              <w:t>Duriau</w:t>
            </w:r>
            <w:proofErr w:type="spellEnd"/>
            <w:r>
              <w:rPr>
                <w:lang w:val="fr-BE"/>
              </w:rPr>
              <w:t>, dans le présent ouvrage, sur les clauses relatives à la preuve et au règlement des différends.</w:t>
            </w:r>
          </w:p>
        </w:tc>
      </w:tr>
      <w:tr w:rsidR="00B06977" w:rsidRPr="00151932" w:rsidTr="00B06977">
        <w:tc>
          <w:tcPr>
            <w:tcW w:w="4248" w:type="dxa"/>
          </w:tcPr>
          <w:p w:rsidR="00B06977" w:rsidRDefault="00B06977" w:rsidP="00001F6E">
            <w:pPr>
              <w:jc w:val="both"/>
              <w:rPr>
                <w:lang w:val="fr-BE"/>
              </w:rPr>
            </w:pPr>
            <w:r>
              <w:rPr>
                <w:lang w:val="fr-BE"/>
              </w:rPr>
              <w:lastRenderedPageBreak/>
              <w:t>VI.83, 24°</w:t>
            </w:r>
            <w:r w:rsidR="00E05D52">
              <w:rPr>
                <w:lang w:val="fr-BE"/>
              </w:rPr>
              <w:t>, du CDE</w:t>
            </w:r>
            <w:r>
              <w:rPr>
                <w:lang w:val="fr-BE"/>
              </w:rPr>
              <w:t xml:space="preserve"> : </w:t>
            </w:r>
            <w:r w:rsidRPr="00613CE5">
              <w:rPr>
                <w:i/>
                <w:lang w:val="fr-BE"/>
              </w:rPr>
              <w:t>« fixer des montants de dommages et intérêts réclamés en cas d</w:t>
            </w:r>
            <w:r>
              <w:rPr>
                <w:i/>
                <w:lang w:val="fr-BE"/>
              </w:rPr>
              <w:t>’inexécution ou de retard dans l’</w:t>
            </w:r>
            <w:r w:rsidRPr="00613CE5">
              <w:rPr>
                <w:i/>
                <w:lang w:val="fr-BE"/>
              </w:rPr>
              <w:t>exécution des obligations du consommateu</w:t>
            </w:r>
            <w:r>
              <w:rPr>
                <w:i/>
                <w:lang w:val="fr-BE"/>
              </w:rPr>
              <w:t>r qui dépassent manifestement l’</w:t>
            </w:r>
            <w:r w:rsidRPr="00613CE5">
              <w:rPr>
                <w:i/>
                <w:lang w:val="fr-BE"/>
              </w:rPr>
              <w:t>étendue du préjudice susceptible d</w:t>
            </w:r>
            <w:r>
              <w:rPr>
                <w:i/>
                <w:lang w:val="fr-BE"/>
              </w:rPr>
              <w:t>’</w:t>
            </w:r>
            <w:r w:rsidRPr="00613CE5">
              <w:rPr>
                <w:i/>
                <w:lang w:val="fr-BE"/>
              </w:rPr>
              <w:t>être subi par l</w:t>
            </w:r>
            <w:r>
              <w:rPr>
                <w:i/>
                <w:lang w:val="fr-BE"/>
              </w:rPr>
              <w:t>’</w:t>
            </w:r>
            <w:r w:rsidRPr="00613CE5">
              <w:rPr>
                <w:i/>
                <w:lang w:val="fr-BE"/>
              </w:rPr>
              <w:t>entreprise</w:t>
            </w:r>
            <w:r>
              <w:rPr>
                <w:lang w:val="fr-BE"/>
              </w:rPr>
              <w:t> »</w:t>
            </w:r>
          </w:p>
          <w:p w:rsidR="00B06977" w:rsidRDefault="00B06977" w:rsidP="00001F6E">
            <w:pPr>
              <w:jc w:val="both"/>
              <w:rPr>
                <w:lang w:val="fr-BE"/>
              </w:rPr>
            </w:pPr>
          </w:p>
          <w:p w:rsidR="00B06977" w:rsidRDefault="00B06977" w:rsidP="00EC765C">
            <w:pPr>
              <w:jc w:val="both"/>
              <w:rPr>
                <w:lang w:val="fr-BE"/>
              </w:rPr>
            </w:pPr>
            <w:r>
              <w:rPr>
                <w:lang w:val="fr-BE"/>
              </w:rPr>
              <w:t xml:space="preserve">Clause figurant dans la </w:t>
            </w:r>
            <w:r w:rsidRPr="00E7773C">
              <w:rPr>
                <w:b/>
                <w:lang w:val="fr-BE"/>
              </w:rPr>
              <w:t>liste noire</w:t>
            </w:r>
            <w:r>
              <w:rPr>
                <w:lang w:val="fr-BE"/>
              </w:rPr>
              <w:t>, abusive en toutes circonstances</w:t>
            </w:r>
          </w:p>
        </w:tc>
        <w:tc>
          <w:tcPr>
            <w:tcW w:w="4252" w:type="dxa"/>
          </w:tcPr>
          <w:p w:rsidR="00B06977" w:rsidRDefault="00E05D52" w:rsidP="00E7773C">
            <w:pPr>
              <w:jc w:val="both"/>
              <w:rPr>
                <w:lang w:val="fr-BE"/>
              </w:rPr>
            </w:pPr>
            <w:r>
              <w:rPr>
                <w:lang w:val="fr-BE"/>
              </w:rPr>
              <w:t xml:space="preserve">VI.91/5, 8°, du CDE </w:t>
            </w:r>
            <w:r w:rsidR="00B06977">
              <w:rPr>
                <w:lang w:val="fr-BE"/>
              </w:rPr>
              <w:t>: « </w:t>
            </w:r>
            <w:r w:rsidR="00B06977" w:rsidRPr="00001F6E">
              <w:rPr>
                <w:i/>
                <w:lang w:val="fr-BE"/>
              </w:rPr>
              <w:t>fixer des montants de dommages et intérêts réclamés en cas d’inexécution ou de retard dans l’exécution des obligations de l’autre partie qui dépassent manifestement l’étendue du préjudice susceptible d’être subi par l’entreprise</w:t>
            </w:r>
            <w:r w:rsidR="00B06977">
              <w:rPr>
                <w:lang w:val="fr-BE"/>
              </w:rPr>
              <w:t> »</w:t>
            </w:r>
          </w:p>
          <w:p w:rsidR="00B06977" w:rsidRDefault="00B06977" w:rsidP="00E7773C">
            <w:pPr>
              <w:jc w:val="both"/>
              <w:rPr>
                <w:lang w:val="fr-BE"/>
              </w:rPr>
            </w:pPr>
          </w:p>
          <w:p w:rsidR="00B06977" w:rsidRDefault="00B06977" w:rsidP="00001F6E">
            <w:pPr>
              <w:jc w:val="both"/>
              <w:rPr>
                <w:lang w:val="fr-BE"/>
              </w:rPr>
            </w:pPr>
            <w:r>
              <w:rPr>
                <w:lang w:val="fr-BE"/>
              </w:rPr>
              <w:t xml:space="preserve">Clause figurant dans la </w:t>
            </w:r>
            <w:r w:rsidRPr="00E7773C">
              <w:rPr>
                <w:b/>
                <w:lang w:val="fr-BE"/>
              </w:rPr>
              <w:t>liste</w:t>
            </w:r>
            <w:r>
              <w:rPr>
                <w:b/>
                <w:lang w:val="fr-BE"/>
              </w:rPr>
              <w:t xml:space="preserve"> grise</w:t>
            </w:r>
            <w:r>
              <w:rPr>
                <w:lang w:val="fr-BE"/>
              </w:rPr>
              <w:t xml:space="preserve">, abusive sauf preuve contraire </w:t>
            </w:r>
          </w:p>
          <w:p w:rsidR="00B06977" w:rsidRDefault="00B06977" w:rsidP="00E7773C">
            <w:pPr>
              <w:jc w:val="both"/>
              <w:rPr>
                <w:lang w:val="fr-BE"/>
              </w:rPr>
            </w:pPr>
          </w:p>
        </w:tc>
        <w:tc>
          <w:tcPr>
            <w:tcW w:w="4395" w:type="dxa"/>
          </w:tcPr>
          <w:p w:rsidR="00B06977" w:rsidRDefault="0015782A" w:rsidP="001073F8">
            <w:pPr>
              <w:jc w:val="both"/>
              <w:rPr>
                <w:lang w:val="fr-BE"/>
              </w:rPr>
            </w:pPr>
            <w:r>
              <w:rPr>
                <w:lang w:val="fr-BE"/>
              </w:rPr>
              <w:t xml:space="preserve">Ces dispositions interdisent </w:t>
            </w:r>
            <w:r w:rsidR="00B06977">
              <w:rPr>
                <w:lang w:val="fr-BE"/>
              </w:rPr>
              <w:t xml:space="preserve">la clause pénale comminatoire, c’est-à-dire celle qui fixe une indemnisation forfaitaire, en cas d’inexécution fautive, qui excède manifestement le dommage potentiel lors de la conclusion du contrat. A la différence du droit commun qui confère au juge le pouvoir de </w:t>
            </w:r>
            <w:r w:rsidR="00B06977">
              <w:rPr>
                <w:i/>
                <w:lang w:val="fr-BE"/>
              </w:rPr>
              <w:t xml:space="preserve">réduire </w:t>
            </w:r>
            <w:r w:rsidR="00B06977">
              <w:rPr>
                <w:lang w:val="fr-BE"/>
              </w:rPr>
              <w:t>une clause pénale excessive (cf. art. 1231 C. civ.), le Code de droit économique frappe u</w:t>
            </w:r>
            <w:r w:rsidR="00B06977" w:rsidRPr="00C4324D">
              <w:rPr>
                <w:lang w:val="fr-BE"/>
              </w:rPr>
              <w:t>n</w:t>
            </w:r>
            <w:r w:rsidR="00984F77" w:rsidRPr="00525BB2">
              <w:rPr>
                <w:lang w:val="fr-BE"/>
              </w:rPr>
              <w:t>e</w:t>
            </w:r>
            <w:r w:rsidR="00B06977">
              <w:rPr>
                <w:lang w:val="fr-BE"/>
              </w:rPr>
              <w:t xml:space="preserve"> telle stipulation de </w:t>
            </w:r>
            <w:r w:rsidR="00B06977" w:rsidRPr="001073F8">
              <w:rPr>
                <w:i/>
                <w:lang w:val="fr-BE"/>
              </w:rPr>
              <w:t>nullité</w:t>
            </w:r>
            <w:r w:rsidR="00476B25">
              <w:rPr>
                <w:iCs/>
                <w:lang w:val="fr-BE"/>
              </w:rPr>
              <w:t xml:space="preserve"> pour le tout</w:t>
            </w:r>
            <w:r w:rsidR="00096B7D">
              <w:rPr>
                <w:rStyle w:val="Appelnotedebasdep"/>
                <w:iCs/>
                <w:lang w:val="fr-BE"/>
              </w:rPr>
              <w:footnoteReference w:id="71"/>
            </w:r>
            <w:r w:rsidR="00B06977">
              <w:rPr>
                <w:lang w:val="fr-BE"/>
              </w:rPr>
              <w:t xml:space="preserve">. </w:t>
            </w:r>
          </w:p>
          <w:p w:rsidR="00B06977" w:rsidRDefault="00B06977" w:rsidP="006422FC">
            <w:pPr>
              <w:jc w:val="both"/>
              <w:rPr>
                <w:lang w:val="fr-BE"/>
              </w:rPr>
            </w:pPr>
            <w:r>
              <w:rPr>
                <w:lang w:val="fr-BE"/>
              </w:rPr>
              <w:lastRenderedPageBreak/>
              <w:t xml:space="preserve">Sur la clause pénale, </w:t>
            </w:r>
            <w:proofErr w:type="spellStart"/>
            <w:r>
              <w:rPr>
                <w:lang w:val="fr-BE"/>
              </w:rPr>
              <w:t>voy</w:t>
            </w:r>
            <w:proofErr w:type="spellEnd"/>
            <w:r>
              <w:rPr>
                <w:lang w:val="fr-BE"/>
              </w:rPr>
              <w:t xml:space="preserve">. </w:t>
            </w:r>
            <w:proofErr w:type="spellStart"/>
            <w:r>
              <w:rPr>
                <w:lang w:val="fr-BE"/>
              </w:rPr>
              <w:t>ég</w:t>
            </w:r>
            <w:proofErr w:type="spellEnd"/>
            <w:r>
              <w:rPr>
                <w:lang w:val="fr-BE"/>
              </w:rPr>
              <w:t xml:space="preserve">. l’art. VI.83, 17° (exigence de réciprocité) qui n’a toutefois pas d’équivalent pour les relations B2B. </w:t>
            </w:r>
          </w:p>
          <w:p w:rsidR="00A3740E" w:rsidRDefault="00A3740E" w:rsidP="006422FC">
            <w:pPr>
              <w:jc w:val="both"/>
              <w:rPr>
                <w:lang w:val="fr-BE"/>
              </w:rPr>
            </w:pPr>
          </w:p>
          <w:p w:rsidR="00A3740E" w:rsidRDefault="00A3740E" w:rsidP="006422FC">
            <w:pPr>
              <w:jc w:val="both"/>
              <w:rPr>
                <w:lang w:val="fr-BE"/>
              </w:rPr>
            </w:pPr>
            <w:r>
              <w:rPr>
                <w:lang w:val="fr-BE"/>
              </w:rPr>
              <w:t xml:space="preserve">Nous renvoyons le lecteur à la contribution de C.-E. Lambert et de R. </w:t>
            </w:r>
            <w:proofErr w:type="spellStart"/>
            <w:r>
              <w:rPr>
                <w:lang w:val="fr-BE"/>
              </w:rPr>
              <w:t>Thüngen</w:t>
            </w:r>
            <w:proofErr w:type="spellEnd"/>
            <w:r>
              <w:rPr>
                <w:lang w:val="fr-BE"/>
              </w:rPr>
              <w:t>, dans le présent ouvrage, sur les clauses d’inexécution.</w:t>
            </w:r>
          </w:p>
        </w:tc>
      </w:tr>
      <w:tr w:rsidR="00B06977" w:rsidRPr="00151932" w:rsidTr="00B06977">
        <w:tc>
          <w:tcPr>
            <w:tcW w:w="4248" w:type="dxa"/>
          </w:tcPr>
          <w:p w:rsidR="00B06977" w:rsidRDefault="00B06977" w:rsidP="006422FC">
            <w:pPr>
              <w:jc w:val="both"/>
              <w:rPr>
                <w:lang w:val="fr-BE"/>
              </w:rPr>
            </w:pPr>
            <w:r>
              <w:rPr>
                <w:lang w:val="fr-BE"/>
              </w:rPr>
              <w:lastRenderedPageBreak/>
              <w:t>VI.83, 25°</w:t>
            </w:r>
            <w:r w:rsidR="00E05D52">
              <w:rPr>
                <w:lang w:val="fr-BE"/>
              </w:rPr>
              <w:t> , du CDE</w:t>
            </w:r>
            <w:r>
              <w:rPr>
                <w:lang w:val="fr-BE"/>
              </w:rPr>
              <w:t> : « </w:t>
            </w:r>
            <w:r w:rsidRPr="006422FC">
              <w:rPr>
                <w:i/>
                <w:lang w:val="fr-BE"/>
              </w:rPr>
              <w:t>exclure ou limiter la responsabilité légale de l’entreprise en cas de mort du consommateur ou de dommages corporels c</w:t>
            </w:r>
            <w:r>
              <w:rPr>
                <w:i/>
                <w:lang w:val="fr-BE"/>
              </w:rPr>
              <w:t>ausés à celui-ci et résultant d’un acte ou d’</w:t>
            </w:r>
            <w:r w:rsidRPr="006422FC">
              <w:rPr>
                <w:i/>
                <w:lang w:val="fr-BE"/>
              </w:rPr>
              <w:t>une omission de cette entreprise</w:t>
            </w:r>
            <w:r>
              <w:rPr>
                <w:lang w:val="fr-BE"/>
              </w:rPr>
              <w:t> »</w:t>
            </w:r>
          </w:p>
          <w:p w:rsidR="00B06977" w:rsidRDefault="00B06977" w:rsidP="006422FC">
            <w:pPr>
              <w:jc w:val="both"/>
              <w:rPr>
                <w:lang w:val="fr-BE"/>
              </w:rPr>
            </w:pPr>
          </w:p>
          <w:p w:rsidR="00B06977" w:rsidRDefault="00B06977" w:rsidP="00001F6E">
            <w:pPr>
              <w:jc w:val="both"/>
              <w:rPr>
                <w:lang w:val="fr-BE"/>
              </w:rPr>
            </w:pPr>
            <w:r>
              <w:rPr>
                <w:lang w:val="fr-BE"/>
              </w:rPr>
              <w:t xml:space="preserve">Clause figurant dans la </w:t>
            </w:r>
            <w:r w:rsidRPr="00E7773C">
              <w:rPr>
                <w:b/>
                <w:lang w:val="fr-BE"/>
              </w:rPr>
              <w:t>liste noire</w:t>
            </w:r>
            <w:r>
              <w:rPr>
                <w:lang w:val="fr-BE"/>
              </w:rPr>
              <w:t>, abusive en toutes circonstances</w:t>
            </w:r>
          </w:p>
        </w:tc>
        <w:tc>
          <w:tcPr>
            <w:tcW w:w="4252" w:type="dxa"/>
          </w:tcPr>
          <w:p w:rsidR="00B06977" w:rsidRDefault="00B06977" w:rsidP="00E7773C">
            <w:pPr>
              <w:jc w:val="both"/>
              <w:rPr>
                <w:lang w:val="fr-BE"/>
              </w:rPr>
            </w:pPr>
          </w:p>
        </w:tc>
        <w:tc>
          <w:tcPr>
            <w:tcW w:w="4395" w:type="dxa"/>
          </w:tcPr>
          <w:p w:rsidR="00B06977" w:rsidRDefault="00B06977" w:rsidP="001073F8">
            <w:pPr>
              <w:jc w:val="both"/>
              <w:rPr>
                <w:lang w:val="fr-BE"/>
              </w:rPr>
            </w:pPr>
            <w:r>
              <w:rPr>
                <w:lang w:val="fr-BE"/>
              </w:rPr>
              <w:t xml:space="preserve">Cette disposition n’appelle pas de commentaire particulier. </w:t>
            </w:r>
          </w:p>
          <w:p w:rsidR="00A3740E" w:rsidRDefault="00A3740E" w:rsidP="001073F8">
            <w:pPr>
              <w:jc w:val="both"/>
              <w:rPr>
                <w:lang w:val="fr-BE"/>
              </w:rPr>
            </w:pPr>
          </w:p>
          <w:p w:rsidR="004F2B3C" w:rsidRDefault="004F2B3C" w:rsidP="001073F8">
            <w:pPr>
              <w:jc w:val="both"/>
              <w:rPr>
                <w:lang w:val="fr-BE"/>
              </w:rPr>
            </w:pPr>
          </w:p>
          <w:p w:rsidR="004F2B3C" w:rsidRDefault="004F2B3C" w:rsidP="001073F8">
            <w:pPr>
              <w:jc w:val="both"/>
              <w:rPr>
                <w:lang w:val="fr-BE"/>
              </w:rPr>
            </w:pPr>
          </w:p>
          <w:p w:rsidR="00A3740E" w:rsidRPr="001073F8" w:rsidRDefault="00A3740E" w:rsidP="001073F8">
            <w:pPr>
              <w:jc w:val="both"/>
              <w:rPr>
                <w:lang w:val="fr-BE"/>
              </w:rPr>
            </w:pPr>
            <w:r>
              <w:rPr>
                <w:lang w:val="fr-BE"/>
              </w:rPr>
              <w:t xml:space="preserve">Nous renvoyons le lecteur à la contribution de C.-E. Lambert et de R. </w:t>
            </w:r>
            <w:proofErr w:type="spellStart"/>
            <w:r>
              <w:rPr>
                <w:lang w:val="fr-BE"/>
              </w:rPr>
              <w:t>Thüngen</w:t>
            </w:r>
            <w:proofErr w:type="spellEnd"/>
            <w:r>
              <w:rPr>
                <w:lang w:val="fr-BE"/>
              </w:rPr>
              <w:t>, dans le présent ouvrage, sur les clauses d’inexécution.</w:t>
            </w:r>
          </w:p>
        </w:tc>
      </w:tr>
      <w:tr w:rsidR="00B06977" w:rsidRPr="00151932" w:rsidTr="00B06977">
        <w:tc>
          <w:tcPr>
            <w:tcW w:w="4248" w:type="dxa"/>
          </w:tcPr>
          <w:p w:rsidR="00B06977" w:rsidRDefault="00E05D52" w:rsidP="00E7773C">
            <w:pPr>
              <w:jc w:val="both"/>
              <w:rPr>
                <w:lang w:val="fr-BE"/>
              </w:rPr>
            </w:pPr>
            <w:r>
              <w:rPr>
                <w:lang w:val="fr-BE"/>
              </w:rPr>
              <w:t xml:space="preserve">VI.83, 26°, du CDE </w:t>
            </w:r>
            <w:r w:rsidR="00B06977">
              <w:rPr>
                <w:lang w:val="fr-BE"/>
              </w:rPr>
              <w:t>: « </w:t>
            </w:r>
            <w:r w:rsidR="00B06977" w:rsidRPr="00F00B24">
              <w:rPr>
                <w:i/>
                <w:lang w:val="fr-BE"/>
              </w:rPr>
              <w:t>cons</w:t>
            </w:r>
            <w:r w:rsidR="00B06977">
              <w:rPr>
                <w:i/>
                <w:lang w:val="fr-BE"/>
              </w:rPr>
              <w:t>tater de manière irréfragable l’</w:t>
            </w:r>
            <w:r w:rsidR="00B06977" w:rsidRPr="00F00B24">
              <w:rPr>
                <w:i/>
                <w:lang w:val="fr-BE"/>
              </w:rPr>
              <w:t>adhésion du consommateur à des clauses dont il n'a pas eu, effectivement, l</w:t>
            </w:r>
            <w:r w:rsidR="006B3A33">
              <w:rPr>
                <w:i/>
                <w:lang w:val="fr-BE"/>
              </w:rPr>
              <w:t>’</w:t>
            </w:r>
            <w:r w:rsidR="00B06977" w:rsidRPr="00F00B24">
              <w:rPr>
                <w:i/>
                <w:lang w:val="fr-BE"/>
              </w:rPr>
              <w:t>occasion de prendre connaissance avant la conclusion du contrat</w:t>
            </w:r>
            <w:r w:rsidR="00B06977">
              <w:rPr>
                <w:lang w:val="fr-BE"/>
              </w:rPr>
              <w:t> »</w:t>
            </w:r>
          </w:p>
          <w:p w:rsidR="00B06977" w:rsidRDefault="00B06977" w:rsidP="00E7773C">
            <w:pPr>
              <w:jc w:val="both"/>
              <w:rPr>
                <w:lang w:val="fr-BE"/>
              </w:rPr>
            </w:pPr>
          </w:p>
          <w:p w:rsidR="00B06977" w:rsidRDefault="00B06977" w:rsidP="006422FC">
            <w:pPr>
              <w:jc w:val="both"/>
              <w:rPr>
                <w:lang w:val="fr-BE"/>
              </w:rPr>
            </w:pPr>
            <w:r>
              <w:rPr>
                <w:lang w:val="fr-BE"/>
              </w:rPr>
              <w:lastRenderedPageBreak/>
              <w:t xml:space="preserve">Clause figurant dans la </w:t>
            </w:r>
            <w:r w:rsidRPr="00E7773C">
              <w:rPr>
                <w:b/>
                <w:lang w:val="fr-BE"/>
              </w:rPr>
              <w:t>liste noire</w:t>
            </w:r>
            <w:r>
              <w:rPr>
                <w:lang w:val="fr-BE"/>
              </w:rPr>
              <w:t>, abusive en toutes circonstances</w:t>
            </w:r>
          </w:p>
        </w:tc>
        <w:tc>
          <w:tcPr>
            <w:tcW w:w="4252" w:type="dxa"/>
          </w:tcPr>
          <w:p w:rsidR="00B06977" w:rsidRDefault="00E05D52" w:rsidP="00E7773C">
            <w:pPr>
              <w:jc w:val="both"/>
              <w:rPr>
                <w:lang w:val="fr-BE"/>
              </w:rPr>
            </w:pPr>
            <w:r>
              <w:rPr>
                <w:lang w:val="fr-BE"/>
              </w:rPr>
              <w:lastRenderedPageBreak/>
              <w:t xml:space="preserve">VI.91/4, 4°, du CDE </w:t>
            </w:r>
            <w:r w:rsidR="00B06977">
              <w:rPr>
                <w:lang w:val="fr-BE"/>
              </w:rPr>
              <w:t>: « </w:t>
            </w:r>
            <w:r w:rsidR="00B06977" w:rsidRPr="00F00B24">
              <w:rPr>
                <w:i/>
                <w:lang w:val="fr-BE"/>
              </w:rPr>
              <w:t>constater de manière irréfragable la connaissance ou l’adhésion de l’autre partie à des clauses dont elle n’a pas eu, effectivement, l’occasion de prendre connaissance avant la conclusion du contrat</w:t>
            </w:r>
            <w:r w:rsidR="00B06977">
              <w:rPr>
                <w:lang w:val="fr-BE"/>
              </w:rPr>
              <w:t xml:space="preserve"> »</w:t>
            </w:r>
          </w:p>
          <w:p w:rsidR="00B06977" w:rsidRDefault="00B06977" w:rsidP="00E7773C">
            <w:pPr>
              <w:jc w:val="both"/>
              <w:rPr>
                <w:lang w:val="fr-BE"/>
              </w:rPr>
            </w:pPr>
          </w:p>
          <w:p w:rsidR="00B06977" w:rsidRDefault="00B06977" w:rsidP="00E7773C">
            <w:pPr>
              <w:jc w:val="both"/>
              <w:rPr>
                <w:lang w:val="fr-BE"/>
              </w:rPr>
            </w:pPr>
            <w:r>
              <w:rPr>
                <w:lang w:val="fr-BE"/>
              </w:rPr>
              <w:lastRenderedPageBreak/>
              <w:t xml:space="preserve">Clause figurant dans la </w:t>
            </w:r>
            <w:r w:rsidRPr="00E7773C">
              <w:rPr>
                <w:b/>
                <w:lang w:val="fr-BE"/>
              </w:rPr>
              <w:t>liste noire</w:t>
            </w:r>
            <w:r>
              <w:rPr>
                <w:lang w:val="fr-BE"/>
              </w:rPr>
              <w:t>, abusive en toutes circonstances</w:t>
            </w:r>
          </w:p>
        </w:tc>
        <w:tc>
          <w:tcPr>
            <w:tcW w:w="4395" w:type="dxa"/>
          </w:tcPr>
          <w:p w:rsidR="00B06977" w:rsidRDefault="00B06977" w:rsidP="00E7773C">
            <w:pPr>
              <w:jc w:val="both"/>
              <w:rPr>
                <w:lang w:val="fr-BE"/>
              </w:rPr>
            </w:pPr>
            <w:r>
              <w:rPr>
                <w:lang w:val="fr-BE"/>
              </w:rPr>
              <w:lastRenderedPageBreak/>
              <w:t xml:space="preserve">Les conditions générales ne sont opposables au cocontractant que si ce dernier a) a </w:t>
            </w:r>
            <w:r w:rsidR="00E937FF">
              <w:rPr>
                <w:lang w:val="fr-BE"/>
              </w:rPr>
              <w:t xml:space="preserve">eu la possibilité </w:t>
            </w:r>
            <w:r w:rsidR="008F71A0">
              <w:rPr>
                <w:lang w:val="fr-BE"/>
              </w:rPr>
              <w:t xml:space="preserve">effective </w:t>
            </w:r>
            <w:r w:rsidR="00E937FF">
              <w:rPr>
                <w:lang w:val="fr-BE"/>
              </w:rPr>
              <w:t>d’</w:t>
            </w:r>
            <w:r>
              <w:rPr>
                <w:lang w:val="fr-BE"/>
              </w:rPr>
              <w:t>en prendre</w:t>
            </w:r>
            <w:r w:rsidR="008F71A0">
              <w:rPr>
                <w:lang w:val="fr-BE"/>
              </w:rPr>
              <w:t xml:space="preserve"> connaissance</w:t>
            </w:r>
            <w:r>
              <w:rPr>
                <w:lang w:val="fr-BE"/>
              </w:rPr>
              <w:t xml:space="preserve"> et b) les a acceptées</w:t>
            </w:r>
            <w:r w:rsidR="00E937FF">
              <w:rPr>
                <w:lang w:val="fr-BE"/>
              </w:rPr>
              <w:t xml:space="preserve"> (expressément ou tacitement)</w:t>
            </w:r>
            <w:r w:rsidR="00AF4EDD">
              <w:rPr>
                <w:rStyle w:val="Appelnotedebasdep"/>
                <w:lang w:val="fr-BE"/>
              </w:rPr>
              <w:footnoteReference w:id="72"/>
            </w:r>
            <w:r>
              <w:rPr>
                <w:lang w:val="fr-BE"/>
              </w:rPr>
              <w:t xml:space="preserve">. </w:t>
            </w:r>
          </w:p>
          <w:p w:rsidR="00B06977" w:rsidRDefault="006E6709" w:rsidP="00815BA7">
            <w:pPr>
              <w:jc w:val="both"/>
              <w:rPr>
                <w:lang w:val="fr-BE"/>
              </w:rPr>
            </w:pPr>
            <w:r>
              <w:rPr>
                <w:lang w:val="fr-BE"/>
              </w:rPr>
              <w:t xml:space="preserve">Ces dispositions visent </w:t>
            </w:r>
            <w:r w:rsidR="00B06977">
              <w:rPr>
                <w:lang w:val="fr-BE"/>
              </w:rPr>
              <w:t xml:space="preserve">ainsi à protéger le cocontractant contre la clause qui constate de </w:t>
            </w:r>
            <w:r w:rsidR="00B06977" w:rsidRPr="00AF4EDD">
              <w:rPr>
                <w:i/>
                <w:lang w:val="fr-BE"/>
              </w:rPr>
              <w:t>manière irréfragable</w:t>
            </w:r>
            <w:r w:rsidR="00B06977">
              <w:rPr>
                <w:lang w:val="fr-BE"/>
              </w:rPr>
              <w:t xml:space="preserve"> l’accord de l’autre </w:t>
            </w:r>
            <w:r w:rsidR="00B06977">
              <w:rPr>
                <w:lang w:val="fr-BE"/>
              </w:rPr>
              <w:lastRenderedPageBreak/>
              <w:t>partie sur des stipulations dont elle n’a pas eu, effectivement, l’occasion de prendre connaissance avant la conclusion du contrat</w:t>
            </w:r>
            <w:r w:rsidR="0036045D">
              <w:rPr>
                <w:rStyle w:val="Appelnotedebasdep"/>
                <w:lang w:val="fr-BE"/>
              </w:rPr>
              <w:footnoteReference w:id="73"/>
            </w:r>
            <w:r w:rsidR="00B06977">
              <w:rPr>
                <w:lang w:val="fr-BE"/>
              </w:rPr>
              <w:t xml:space="preserve">. </w:t>
            </w:r>
          </w:p>
          <w:p w:rsidR="00B06977" w:rsidRDefault="00B06977" w:rsidP="000E29FD">
            <w:pPr>
              <w:jc w:val="both"/>
              <w:rPr>
                <w:lang w:val="fr-BE"/>
              </w:rPr>
            </w:pPr>
            <w:r>
              <w:rPr>
                <w:lang w:val="fr-BE"/>
              </w:rPr>
              <w:t xml:space="preserve">L’on remarquera la différence de rédaction entre l’article VI.83, 26° et l’article VI.91/4, 4°, du CDE : le premier ne vise que le constat irréfragable de l’adhésion du consommateur, tandis que le second vise la constatation irréfragable de la </w:t>
            </w:r>
            <w:r>
              <w:rPr>
                <w:i/>
                <w:lang w:val="fr-BE"/>
              </w:rPr>
              <w:t>connaissance</w:t>
            </w:r>
            <w:r>
              <w:rPr>
                <w:lang w:val="fr-BE"/>
              </w:rPr>
              <w:t xml:space="preserve"> ou de l’adhésion. Il n’en demeure pas moins que, dans le cadre des relations B2C, l’on pourrait, sur pied de l’article VI.83, 21°, </w:t>
            </w:r>
            <w:r>
              <w:rPr>
                <w:i/>
                <w:lang w:val="fr-BE"/>
              </w:rPr>
              <w:t>in fine</w:t>
            </w:r>
            <w:r>
              <w:rPr>
                <w:lang w:val="fr-BE"/>
              </w:rPr>
              <w:t>, remettre en cause la validité des clauses constatant</w:t>
            </w:r>
            <w:r w:rsidRPr="00815BA7">
              <w:rPr>
                <w:lang w:val="fr-BE"/>
              </w:rPr>
              <w:t xml:space="preserve"> que le consommateur a pris connaissance des conditions</w:t>
            </w:r>
            <w:r>
              <w:rPr>
                <w:lang w:val="fr-BE"/>
              </w:rPr>
              <w:t xml:space="preserve"> </w:t>
            </w:r>
            <w:r w:rsidRPr="00815BA7">
              <w:rPr>
                <w:lang w:val="fr-BE"/>
              </w:rPr>
              <w:t xml:space="preserve">contractuelles </w:t>
            </w:r>
            <w:r>
              <w:rPr>
                <w:lang w:val="fr-BE"/>
              </w:rPr>
              <w:t xml:space="preserve"> ou qu’il a reçu un exemplaire de celles-ci. En effet, l’article VI.83, 21°, </w:t>
            </w:r>
            <w:r>
              <w:rPr>
                <w:i/>
                <w:lang w:val="fr-BE"/>
              </w:rPr>
              <w:t>in fine</w:t>
            </w:r>
            <w:r>
              <w:rPr>
                <w:lang w:val="fr-BE"/>
              </w:rPr>
              <w:t>, du CDE taxe d’abusives les clauses qui imposent au consommateur une charge de la preuve qui incombe normalement à l’entreprise. Or,</w:t>
            </w:r>
            <w:r w:rsidR="000E29FD" w:rsidRPr="000E29FD">
              <w:rPr>
                <w:lang w:val="fr-BE"/>
              </w:rPr>
              <w:t xml:space="preserve"> </w:t>
            </w:r>
            <w:r w:rsidR="000E29FD">
              <w:rPr>
                <w:lang w:val="fr-BE"/>
              </w:rPr>
              <w:t xml:space="preserve">il </w:t>
            </w:r>
            <w:r w:rsidR="000E29FD" w:rsidRPr="000E29FD">
              <w:rPr>
                <w:lang w:val="fr-BE"/>
              </w:rPr>
              <w:t>est traditionnellement admis que c’est à l’entreprise</w:t>
            </w:r>
            <w:r w:rsidR="000E29FD">
              <w:rPr>
                <w:lang w:val="fr-BE"/>
              </w:rPr>
              <w:t xml:space="preserve"> </w:t>
            </w:r>
            <w:r w:rsidR="000E29FD" w:rsidRPr="000E29FD">
              <w:rPr>
                <w:lang w:val="fr-BE"/>
              </w:rPr>
              <w:t>qu’il incombe de prouver que le consommateur a eu l’occasion de prendre</w:t>
            </w:r>
            <w:r w:rsidR="00A37506">
              <w:rPr>
                <w:lang w:val="fr-BE"/>
              </w:rPr>
              <w:t xml:space="preserve"> effectivement</w:t>
            </w:r>
            <w:r w:rsidR="000E29FD" w:rsidRPr="000E29FD">
              <w:rPr>
                <w:lang w:val="fr-BE"/>
              </w:rPr>
              <w:t xml:space="preserve"> connaissance des conditions contractuelles</w:t>
            </w:r>
            <w:r w:rsidR="00984F77">
              <w:rPr>
                <w:lang w:val="fr-BE"/>
              </w:rPr>
              <w:t xml:space="preserve"> </w:t>
            </w:r>
            <w:r w:rsidR="000E29FD" w:rsidRPr="000E29FD">
              <w:rPr>
                <w:lang w:val="fr-BE"/>
              </w:rPr>
              <w:t>avant la conclusion du contrat.</w:t>
            </w:r>
            <w:r w:rsidR="00224DEB">
              <w:rPr>
                <w:lang w:val="fr-BE"/>
              </w:rPr>
              <w:t xml:space="preserve"> Par conséquent</w:t>
            </w:r>
            <w:r w:rsidR="000E29FD">
              <w:rPr>
                <w:lang w:val="fr-BE"/>
              </w:rPr>
              <w:t xml:space="preserve">, </w:t>
            </w:r>
            <w:r>
              <w:rPr>
                <w:lang w:val="fr-BE"/>
              </w:rPr>
              <w:t xml:space="preserve">une clause qui constate que le consommateur a pris connaissance des </w:t>
            </w:r>
            <w:r>
              <w:rPr>
                <w:lang w:val="fr-BE"/>
              </w:rPr>
              <w:lastRenderedPageBreak/>
              <w:t>conditions générales inverse la charge de la preuve dès lors qu’elle impose au consommateur</w:t>
            </w:r>
            <w:r w:rsidR="00B81339">
              <w:rPr>
                <w:lang w:val="fr-BE"/>
              </w:rPr>
              <w:t xml:space="preserve"> de démontrer qu’il n’a pas pu</w:t>
            </w:r>
            <w:r>
              <w:rPr>
                <w:lang w:val="fr-BE"/>
              </w:rPr>
              <w:t xml:space="preserve"> prendre</w:t>
            </w:r>
            <w:r w:rsidR="00B81339">
              <w:rPr>
                <w:lang w:val="fr-BE"/>
              </w:rPr>
              <w:t xml:space="preserve"> effectivement</w:t>
            </w:r>
            <w:r>
              <w:rPr>
                <w:lang w:val="fr-BE"/>
              </w:rPr>
              <w:t xml:space="preserve"> connaissance des conditions contractuelles</w:t>
            </w:r>
            <w:r>
              <w:rPr>
                <w:rStyle w:val="Appelnotedebasdep"/>
                <w:lang w:val="fr-BE"/>
              </w:rPr>
              <w:footnoteReference w:id="74"/>
            </w:r>
            <w:r>
              <w:rPr>
                <w:lang w:val="fr-BE"/>
              </w:rPr>
              <w:t>.</w:t>
            </w:r>
          </w:p>
          <w:p w:rsidR="00B06977" w:rsidRDefault="00B06977" w:rsidP="00207B79">
            <w:pPr>
              <w:jc w:val="both"/>
              <w:rPr>
                <w:lang w:val="fr-BE"/>
              </w:rPr>
            </w:pPr>
          </w:p>
          <w:p w:rsidR="00984F77" w:rsidRDefault="00B06977" w:rsidP="00B81339">
            <w:pPr>
              <w:jc w:val="both"/>
              <w:rPr>
                <w:lang w:val="fr-BE"/>
              </w:rPr>
            </w:pPr>
            <w:r>
              <w:rPr>
                <w:lang w:val="fr-BE"/>
              </w:rPr>
              <w:t>De même, les clauses qui</w:t>
            </w:r>
            <w:r w:rsidR="00B81339">
              <w:rPr>
                <w:lang w:val="fr-BE"/>
              </w:rPr>
              <w:t>, dans le domaine B2C,</w:t>
            </w:r>
            <w:r>
              <w:rPr>
                <w:lang w:val="fr-BE"/>
              </w:rPr>
              <w:t xml:space="preserve"> constatent de manière </w:t>
            </w:r>
            <w:proofErr w:type="spellStart"/>
            <w:r>
              <w:rPr>
                <w:i/>
                <w:lang w:val="fr-BE"/>
              </w:rPr>
              <w:t>réfragable</w:t>
            </w:r>
            <w:proofErr w:type="spellEnd"/>
            <w:r>
              <w:rPr>
                <w:i/>
                <w:lang w:val="fr-BE"/>
              </w:rPr>
              <w:t xml:space="preserve"> </w:t>
            </w:r>
            <w:r>
              <w:rPr>
                <w:lang w:val="fr-BE"/>
              </w:rPr>
              <w:t xml:space="preserve">l’accord du consommateur pourraient être invalidées sur pied des articles VI.83, 21° </w:t>
            </w:r>
            <w:proofErr w:type="spellStart"/>
            <w:r>
              <w:rPr>
                <w:i/>
                <w:lang w:val="fr-BE"/>
              </w:rPr>
              <w:t>juncto</w:t>
            </w:r>
            <w:proofErr w:type="spellEnd"/>
            <w:r>
              <w:rPr>
                <w:i/>
                <w:lang w:val="fr-BE"/>
              </w:rPr>
              <w:t xml:space="preserve"> </w:t>
            </w:r>
            <w:r>
              <w:rPr>
                <w:lang w:val="fr-BE"/>
              </w:rPr>
              <w:t>VI.83, 26°, du CDE (</w:t>
            </w:r>
            <w:proofErr w:type="spellStart"/>
            <w:r>
              <w:rPr>
                <w:lang w:val="fr-BE"/>
              </w:rPr>
              <w:t>comp</w:t>
            </w:r>
            <w:proofErr w:type="spellEnd"/>
            <w:r>
              <w:rPr>
                <w:lang w:val="fr-BE"/>
              </w:rPr>
              <w:t xml:space="preserve">. avec les relations B2B pour lesquelles il n’existe pas de pendant à l’article VI.83, 21°, </w:t>
            </w:r>
            <w:r>
              <w:rPr>
                <w:i/>
                <w:lang w:val="fr-BE"/>
              </w:rPr>
              <w:t>in fine</w:t>
            </w:r>
            <w:r>
              <w:rPr>
                <w:lang w:val="fr-BE"/>
              </w:rPr>
              <w:t xml:space="preserve"> du CDE, de sorte que </w:t>
            </w:r>
            <w:r w:rsidRPr="00207B79">
              <w:rPr>
                <w:i/>
                <w:lang w:val="fr-BE"/>
              </w:rPr>
              <w:t>seules</w:t>
            </w:r>
            <w:r>
              <w:rPr>
                <w:lang w:val="fr-BE"/>
              </w:rPr>
              <w:t xml:space="preserve"> les stipulations qui constatent de </w:t>
            </w:r>
            <w:r w:rsidRPr="00207B79">
              <w:rPr>
                <w:i/>
                <w:lang w:val="fr-BE"/>
              </w:rPr>
              <w:t xml:space="preserve">manière </w:t>
            </w:r>
            <w:r w:rsidRPr="00683EDA">
              <w:rPr>
                <w:i/>
                <w:u w:val="single"/>
                <w:lang w:val="fr-BE"/>
              </w:rPr>
              <w:t>irréfragable</w:t>
            </w:r>
            <w:r>
              <w:rPr>
                <w:lang w:val="fr-BE"/>
              </w:rPr>
              <w:t xml:space="preserve"> la connaissance ou l’adhésion pourraient être considérées comme abusives).  </w:t>
            </w:r>
          </w:p>
          <w:p w:rsidR="00A3740E" w:rsidRDefault="00A3740E" w:rsidP="00B81339">
            <w:pPr>
              <w:jc w:val="both"/>
              <w:rPr>
                <w:lang w:val="fr-BE"/>
              </w:rPr>
            </w:pPr>
          </w:p>
          <w:p w:rsidR="00A3740E" w:rsidRDefault="00A3740E" w:rsidP="00B81339">
            <w:pPr>
              <w:jc w:val="both"/>
              <w:rPr>
                <w:lang w:val="fr-BE"/>
              </w:rPr>
            </w:pPr>
            <w:r>
              <w:rPr>
                <w:lang w:val="fr-BE"/>
              </w:rPr>
              <w:t xml:space="preserve">Nous renvoyons le lecteur à la contribution d’A. </w:t>
            </w:r>
            <w:proofErr w:type="spellStart"/>
            <w:r>
              <w:rPr>
                <w:lang w:val="fr-BE"/>
              </w:rPr>
              <w:t>Duriau</w:t>
            </w:r>
            <w:proofErr w:type="spellEnd"/>
            <w:r>
              <w:rPr>
                <w:lang w:val="fr-BE"/>
              </w:rPr>
              <w:t>, dans le présent ouvrage, sur les clauses relatives à la preuve et au règlement des différends.</w:t>
            </w:r>
          </w:p>
        </w:tc>
      </w:tr>
      <w:tr w:rsidR="00B06977" w:rsidRPr="00151932" w:rsidTr="00B06977">
        <w:tc>
          <w:tcPr>
            <w:tcW w:w="4248" w:type="dxa"/>
          </w:tcPr>
          <w:p w:rsidR="00B06977" w:rsidRDefault="00E05D52" w:rsidP="006422FC">
            <w:pPr>
              <w:jc w:val="both"/>
              <w:rPr>
                <w:lang w:val="fr-BE"/>
              </w:rPr>
            </w:pPr>
            <w:r>
              <w:rPr>
                <w:lang w:val="fr-BE"/>
              </w:rPr>
              <w:lastRenderedPageBreak/>
              <w:t xml:space="preserve">VI.83, 27°, du CDE </w:t>
            </w:r>
            <w:r w:rsidR="00B06977">
              <w:rPr>
                <w:lang w:val="fr-BE"/>
              </w:rPr>
              <w:t>: « </w:t>
            </w:r>
            <w:r w:rsidR="00B06977" w:rsidRPr="006422FC">
              <w:rPr>
                <w:i/>
                <w:lang w:val="fr-BE"/>
              </w:rPr>
              <w:t xml:space="preserve">permettre à l’entreprise de retenir des sommes versées par le consommateur lorsque celui-ci renonce à conclure ou à exécuter le contrat, sans prévoir le droit, pour le consommateur, de percevoir une indemnité d’un montant équivalent de la </w:t>
            </w:r>
            <w:r w:rsidR="00B06977" w:rsidRPr="006422FC">
              <w:rPr>
                <w:i/>
                <w:lang w:val="fr-BE"/>
              </w:rPr>
              <w:lastRenderedPageBreak/>
              <w:t>part de l’entreprise lorsque c’est cette dernière qui renonce</w:t>
            </w:r>
            <w:r w:rsidR="00B06977">
              <w:rPr>
                <w:lang w:val="fr-BE"/>
              </w:rPr>
              <w:t> »</w:t>
            </w:r>
          </w:p>
          <w:p w:rsidR="00B06977" w:rsidRDefault="00B06977" w:rsidP="006422FC">
            <w:pPr>
              <w:jc w:val="both"/>
              <w:rPr>
                <w:lang w:val="fr-BE"/>
              </w:rPr>
            </w:pPr>
          </w:p>
          <w:p w:rsidR="00B06977" w:rsidRDefault="00B06977" w:rsidP="00E7773C">
            <w:pPr>
              <w:jc w:val="both"/>
              <w:rPr>
                <w:lang w:val="fr-BE"/>
              </w:rPr>
            </w:pPr>
            <w:r>
              <w:rPr>
                <w:lang w:val="fr-BE"/>
              </w:rPr>
              <w:t xml:space="preserve">Clause figurant dans la </w:t>
            </w:r>
            <w:r w:rsidRPr="00E7773C">
              <w:rPr>
                <w:b/>
                <w:lang w:val="fr-BE"/>
              </w:rPr>
              <w:t>liste noire</w:t>
            </w:r>
            <w:r>
              <w:rPr>
                <w:lang w:val="fr-BE"/>
              </w:rPr>
              <w:t>, abusive en toutes circonstances</w:t>
            </w:r>
          </w:p>
        </w:tc>
        <w:tc>
          <w:tcPr>
            <w:tcW w:w="4252" w:type="dxa"/>
          </w:tcPr>
          <w:p w:rsidR="00B06977" w:rsidRDefault="00B06977" w:rsidP="00E7773C">
            <w:pPr>
              <w:jc w:val="both"/>
              <w:rPr>
                <w:lang w:val="fr-BE"/>
              </w:rPr>
            </w:pPr>
          </w:p>
        </w:tc>
        <w:tc>
          <w:tcPr>
            <w:tcW w:w="4395" w:type="dxa"/>
          </w:tcPr>
          <w:p w:rsidR="00B06977" w:rsidRDefault="00B06977" w:rsidP="005D62F2">
            <w:pPr>
              <w:jc w:val="both"/>
              <w:rPr>
                <w:lang w:val="fr-BE"/>
              </w:rPr>
            </w:pPr>
            <w:r>
              <w:rPr>
                <w:lang w:val="fr-BE"/>
              </w:rPr>
              <w:t xml:space="preserve">Cette disposition soumet la validité de certaines clauses de dédit à la double exigence de réciprocité et d’équivalence des montants. En d’autres termes, la clause de dédit qui permet à l’entreprise de conserver les sommes versées par le consommateur lorsque ce dernier renonce à conclure ou </w:t>
            </w:r>
            <w:r>
              <w:rPr>
                <w:lang w:val="fr-BE"/>
              </w:rPr>
              <w:lastRenderedPageBreak/>
              <w:t xml:space="preserve">exécuter le contrat ne sera pas abusive si le contrat </w:t>
            </w:r>
            <w:r w:rsidRPr="005D62F2">
              <w:rPr>
                <w:lang w:val="fr-BE"/>
              </w:rPr>
              <w:t>prévoit la faculté,</w:t>
            </w:r>
            <w:r>
              <w:rPr>
                <w:lang w:val="fr-BE"/>
              </w:rPr>
              <w:t xml:space="preserve"> pour le consommateur, </w:t>
            </w:r>
            <w:r w:rsidRPr="005D62F2">
              <w:rPr>
                <w:lang w:val="fr-BE"/>
              </w:rPr>
              <w:t>de percevoir une indemnité d’un montant équivalent de la p</w:t>
            </w:r>
            <w:r>
              <w:rPr>
                <w:lang w:val="fr-BE"/>
              </w:rPr>
              <w:t xml:space="preserve">art de l’entreprise dans l’hypothèse où c’est </w:t>
            </w:r>
            <w:r w:rsidRPr="005D62F2">
              <w:rPr>
                <w:lang w:val="fr-BE"/>
              </w:rPr>
              <w:t>cette dernière qui décide de se dédire.</w:t>
            </w:r>
            <w:r>
              <w:rPr>
                <w:lang w:val="fr-BE"/>
              </w:rPr>
              <w:t xml:space="preserve"> </w:t>
            </w:r>
          </w:p>
          <w:p w:rsidR="00B06977" w:rsidRDefault="00B06977" w:rsidP="005D62F2">
            <w:pPr>
              <w:jc w:val="both"/>
              <w:rPr>
                <w:lang w:val="fr-BE"/>
              </w:rPr>
            </w:pPr>
          </w:p>
          <w:p w:rsidR="00B06977" w:rsidRDefault="00B06977" w:rsidP="007C7243">
            <w:pPr>
              <w:jc w:val="both"/>
              <w:rPr>
                <w:lang w:val="fr-BE"/>
              </w:rPr>
            </w:pPr>
            <w:r>
              <w:rPr>
                <w:lang w:val="fr-BE"/>
              </w:rPr>
              <w:t xml:space="preserve">L’interdiction ne vise pas toutes les clauses de dédit : elle suppose que le consommateur </w:t>
            </w:r>
            <w:r w:rsidRPr="00833F8C">
              <w:rPr>
                <w:i/>
                <w:lang w:val="fr-BE"/>
              </w:rPr>
              <w:t>ait versé des sommes</w:t>
            </w:r>
            <w:r>
              <w:rPr>
                <w:lang w:val="fr-BE"/>
              </w:rPr>
              <w:t xml:space="preserve"> (par ex., il a payé un acompte) et que </w:t>
            </w:r>
            <w:r w:rsidRPr="00833F8C">
              <w:rPr>
                <w:i/>
                <w:lang w:val="fr-BE"/>
              </w:rPr>
              <w:t xml:space="preserve">celles-ci </w:t>
            </w:r>
            <w:r w:rsidR="00413925">
              <w:rPr>
                <w:i/>
                <w:lang w:val="fr-BE"/>
              </w:rPr>
              <w:t xml:space="preserve">puissent </w:t>
            </w:r>
            <w:r w:rsidRPr="00833F8C">
              <w:rPr>
                <w:i/>
                <w:lang w:val="fr-BE"/>
              </w:rPr>
              <w:t>être retenues</w:t>
            </w:r>
            <w:r>
              <w:rPr>
                <w:lang w:val="fr-BE"/>
              </w:rPr>
              <w:t xml:space="preserve"> par l’entreprise (sans que le consommateur dispose d’un droit similaire dans l’hypothèse où c’est l’entreprise qui renonce).</w:t>
            </w:r>
            <w:r w:rsidR="00413925">
              <w:rPr>
                <w:lang w:val="fr-BE"/>
              </w:rPr>
              <w:t xml:space="preserve"> Ainsi, la double condition de réciprocité et d’équivalence ne vise que </w:t>
            </w:r>
            <w:r w:rsidR="007C7243">
              <w:rPr>
                <w:lang w:val="fr-BE"/>
              </w:rPr>
              <w:t xml:space="preserve">la </w:t>
            </w:r>
            <w:r w:rsidR="007C7243" w:rsidRPr="007C7243">
              <w:rPr>
                <w:i/>
                <w:lang w:val="fr-BE"/>
              </w:rPr>
              <w:t>rétention</w:t>
            </w:r>
            <w:r w:rsidR="007C7243">
              <w:rPr>
                <w:lang w:val="fr-BE"/>
              </w:rPr>
              <w:t xml:space="preserve"> des sommes qui ont été versées à l’entreprise.</w:t>
            </w:r>
            <w:r w:rsidR="00413925">
              <w:rPr>
                <w:lang w:val="fr-BE"/>
              </w:rPr>
              <w:t xml:space="preserve"> En revanche, la clause qui imposerait le</w:t>
            </w:r>
            <w:r w:rsidR="007C7243">
              <w:rPr>
                <w:i/>
                <w:lang w:val="fr-BE"/>
              </w:rPr>
              <w:t xml:space="preserve"> paiement </w:t>
            </w:r>
            <w:r w:rsidR="00413925">
              <w:rPr>
                <w:lang w:val="fr-BE"/>
              </w:rPr>
              <w:t>d’une indemnité de dédit, en cas de résiliation (par le consommateur), échapperait à cette double exigence</w:t>
            </w:r>
            <w:r w:rsidR="00413925">
              <w:rPr>
                <w:rStyle w:val="Appelnotedebasdep"/>
                <w:lang w:val="fr-BE"/>
              </w:rPr>
              <w:footnoteReference w:id="75"/>
            </w:r>
            <w:r w:rsidR="00413925">
              <w:rPr>
                <w:lang w:val="fr-BE"/>
              </w:rPr>
              <w:t>.</w:t>
            </w:r>
          </w:p>
          <w:p w:rsidR="004F2B3C" w:rsidRDefault="004F2B3C" w:rsidP="007C7243">
            <w:pPr>
              <w:jc w:val="both"/>
              <w:rPr>
                <w:lang w:val="fr-BE"/>
              </w:rPr>
            </w:pPr>
          </w:p>
          <w:p w:rsidR="004F2B3C" w:rsidRPr="00207B79" w:rsidRDefault="004F2B3C" w:rsidP="007C7243">
            <w:pPr>
              <w:jc w:val="both"/>
              <w:rPr>
                <w:lang w:val="fr-BE"/>
              </w:rPr>
            </w:pPr>
            <w:r>
              <w:rPr>
                <w:lang w:val="fr-BE"/>
              </w:rPr>
              <w:t xml:space="preserve">Nous renvoyons le lecteur à la contribution de K. </w:t>
            </w:r>
            <w:proofErr w:type="spellStart"/>
            <w:r>
              <w:rPr>
                <w:lang w:val="fr-BE"/>
              </w:rPr>
              <w:t>Troch</w:t>
            </w:r>
            <w:proofErr w:type="spellEnd"/>
            <w:r>
              <w:rPr>
                <w:lang w:val="fr-BE"/>
              </w:rPr>
              <w:t>, dans le présent ouvrage, sur les clauses de durée.</w:t>
            </w:r>
          </w:p>
        </w:tc>
      </w:tr>
      <w:tr w:rsidR="00B06977" w:rsidRPr="00151932" w:rsidTr="00B06977">
        <w:tc>
          <w:tcPr>
            <w:tcW w:w="4248" w:type="dxa"/>
          </w:tcPr>
          <w:p w:rsidR="00B06977" w:rsidRDefault="00B06977" w:rsidP="00E7773C">
            <w:pPr>
              <w:jc w:val="both"/>
              <w:rPr>
                <w:lang w:val="fr-BE"/>
              </w:rPr>
            </w:pPr>
            <w:r>
              <w:rPr>
                <w:lang w:val="fr-BE"/>
              </w:rPr>
              <w:lastRenderedPageBreak/>
              <w:t>VI.83, 28°</w:t>
            </w:r>
            <w:r w:rsidR="00E05D52">
              <w:rPr>
                <w:lang w:val="fr-BE"/>
              </w:rPr>
              <w:t>, du CDE</w:t>
            </w:r>
            <w:r>
              <w:rPr>
                <w:lang w:val="fr-BE"/>
              </w:rPr>
              <w:t> : « </w:t>
            </w:r>
            <w:r w:rsidRPr="003A325C">
              <w:rPr>
                <w:i/>
                <w:lang w:val="fr-BE"/>
              </w:rPr>
              <w:t xml:space="preserve">permettre à l’entreprise de retenir les sommes versées par le consommateur lorsque c’est </w:t>
            </w:r>
            <w:r w:rsidRPr="003A325C">
              <w:rPr>
                <w:i/>
                <w:lang w:val="fr-BE"/>
              </w:rPr>
              <w:lastRenderedPageBreak/>
              <w:t>l’entreprise elle-même qui résilie le contrat</w:t>
            </w:r>
            <w:r>
              <w:rPr>
                <w:lang w:val="fr-BE"/>
              </w:rPr>
              <w:t> »</w:t>
            </w:r>
          </w:p>
          <w:p w:rsidR="00B06977" w:rsidRDefault="00B06977" w:rsidP="00E7773C">
            <w:pPr>
              <w:jc w:val="both"/>
              <w:rPr>
                <w:lang w:val="fr-BE"/>
              </w:rPr>
            </w:pPr>
          </w:p>
          <w:p w:rsidR="00B06977" w:rsidRDefault="00B06977" w:rsidP="006422FC">
            <w:pPr>
              <w:jc w:val="both"/>
              <w:rPr>
                <w:lang w:val="fr-BE"/>
              </w:rPr>
            </w:pPr>
            <w:r>
              <w:rPr>
                <w:lang w:val="fr-BE"/>
              </w:rPr>
              <w:t xml:space="preserve">Clause figurant dans la </w:t>
            </w:r>
            <w:r w:rsidRPr="00E7773C">
              <w:rPr>
                <w:b/>
                <w:lang w:val="fr-BE"/>
              </w:rPr>
              <w:t>liste noire</w:t>
            </w:r>
            <w:r>
              <w:rPr>
                <w:lang w:val="fr-BE"/>
              </w:rPr>
              <w:t>, abusive en toutes circonstances</w:t>
            </w:r>
          </w:p>
        </w:tc>
        <w:tc>
          <w:tcPr>
            <w:tcW w:w="4252" w:type="dxa"/>
          </w:tcPr>
          <w:p w:rsidR="00B06977" w:rsidRDefault="00B06977" w:rsidP="00E7773C">
            <w:pPr>
              <w:jc w:val="both"/>
              <w:rPr>
                <w:lang w:val="fr-BE"/>
              </w:rPr>
            </w:pPr>
          </w:p>
        </w:tc>
        <w:tc>
          <w:tcPr>
            <w:tcW w:w="4395" w:type="dxa"/>
          </w:tcPr>
          <w:p w:rsidR="00B06977" w:rsidRDefault="00B06977" w:rsidP="00F1244B">
            <w:pPr>
              <w:jc w:val="both"/>
              <w:rPr>
                <w:lang w:val="fr-BE"/>
              </w:rPr>
            </w:pPr>
            <w:r w:rsidRPr="0044600F">
              <w:rPr>
                <w:lang w:val="fr-BE"/>
              </w:rPr>
              <w:t>Le point f) de l’annexe à la directive 93/13/CEE du Conse</w:t>
            </w:r>
            <w:r>
              <w:rPr>
                <w:lang w:val="fr-BE"/>
              </w:rPr>
              <w:t xml:space="preserve">il, du 5 avril 1993, concernant </w:t>
            </w:r>
            <w:r w:rsidRPr="0044600F">
              <w:rPr>
                <w:lang w:val="fr-BE"/>
              </w:rPr>
              <w:t xml:space="preserve">les clauses abusives dans les </w:t>
            </w:r>
            <w:r w:rsidRPr="0044600F">
              <w:rPr>
                <w:lang w:val="fr-BE"/>
              </w:rPr>
              <w:lastRenderedPageBreak/>
              <w:t>contrats conclus</w:t>
            </w:r>
            <w:r>
              <w:rPr>
                <w:lang w:val="fr-BE"/>
              </w:rPr>
              <w:t xml:space="preserve"> avec les consommateurs précise </w:t>
            </w:r>
            <w:r w:rsidRPr="0044600F">
              <w:rPr>
                <w:lang w:val="fr-BE"/>
              </w:rPr>
              <w:t xml:space="preserve">qu’il s’agit des sommes versées « </w:t>
            </w:r>
            <w:r w:rsidRPr="00136594">
              <w:rPr>
                <w:i/>
                <w:lang w:val="fr-BE"/>
              </w:rPr>
              <w:t>au titre de prestations non encore réalisées par</w:t>
            </w:r>
            <w:r w:rsidRPr="0044600F">
              <w:rPr>
                <w:i/>
                <w:lang w:val="fr-BE"/>
              </w:rPr>
              <w:t xml:space="preserve"> </w:t>
            </w:r>
            <w:r w:rsidRPr="00136594">
              <w:rPr>
                <w:i/>
                <w:lang w:val="fr-BE"/>
              </w:rPr>
              <w:t>lui</w:t>
            </w:r>
            <w:r>
              <w:rPr>
                <w:i/>
                <w:lang w:val="fr-BE"/>
              </w:rPr>
              <w:t xml:space="preserve"> </w:t>
            </w:r>
            <w:r w:rsidRPr="00F1244B">
              <w:rPr>
                <w:lang w:val="fr-BE"/>
              </w:rPr>
              <w:t>[</w:t>
            </w:r>
            <w:r>
              <w:rPr>
                <w:lang w:val="fr-BE"/>
              </w:rPr>
              <w:t xml:space="preserve">à savoir </w:t>
            </w:r>
            <w:r w:rsidRPr="00F1244B">
              <w:rPr>
                <w:lang w:val="fr-BE"/>
              </w:rPr>
              <w:t>le professionnel</w:t>
            </w:r>
            <w:r>
              <w:rPr>
                <w:lang w:val="fr-BE"/>
              </w:rPr>
              <w:t xml:space="preserve"> ou, selon les termes du CDE, l’entreprise</w:t>
            </w:r>
            <w:r w:rsidRPr="00F1244B">
              <w:rPr>
                <w:lang w:val="fr-BE"/>
              </w:rPr>
              <w:t>]</w:t>
            </w:r>
            <w:r w:rsidRPr="0044600F">
              <w:rPr>
                <w:lang w:val="fr-BE"/>
              </w:rPr>
              <w:t xml:space="preserve"> ».</w:t>
            </w:r>
          </w:p>
          <w:p w:rsidR="00B06977" w:rsidRDefault="00B06977" w:rsidP="00F1244B">
            <w:pPr>
              <w:jc w:val="both"/>
              <w:rPr>
                <w:lang w:val="fr-BE"/>
              </w:rPr>
            </w:pPr>
          </w:p>
          <w:p w:rsidR="00B06977" w:rsidRDefault="00B06977" w:rsidP="00F1244B">
            <w:pPr>
              <w:jc w:val="both"/>
              <w:rPr>
                <w:lang w:val="fr-BE"/>
              </w:rPr>
            </w:pPr>
            <w:r w:rsidRPr="00F1244B">
              <w:rPr>
                <w:lang w:val="fr-BE"/>
              </w:rPr>
              <w:t xml:space="preserve">L’objectif de la règle est d’éviter que </w:t>
            </w:r>
            <w:r>
              <w:rPr>
                <w:lang w:val="fr-BE"/>
              </w:rPr>
              <w:t xml:space="preserve">l’entreprise ne profite de la résiliation </w:t>
            </w:r>
            <w:r w:rsidRPr="00F1244B">
              <w:rPr>
                <w:lang w:val="fr-BE"/>
              </w:rPr>
              <w:t>pour conserver les sommes que le consommateur aurai</w:t>
            </w:r>
            <w:r>
              <w:rPr>
                <w:lang w:val="fr-BE"/>
              </w:rPr>
              <w:t>t déjà versées alors qu’el</w:t>
            </w:r>
            <w:r w:rsidRPr="00F1244B">
              <w:rPr>
                <w:lang w:val="fr-BE"/>
              </w:rPr>
              <w:t>l</w:t>
            </w:r>
            <w:r>
              <w:rPr>
                <w:lang w:val="fr-BE"/>
              </w:rPr>
              <w:t xml:space="preserve">e n’aurait </w:t>
            </w:r>
            <w:r w:rsidRPr="00F1244B">
              <w:rPr>
                <w:lang w:val="fr-BE"/>
              </w:rPr>
              <w:t>pas accompli ses prestations en contrepartie</w:t>
            </w:r>
            <w:r>
              <w:rPr>
                <w:lang w:val="fr-BE"/>
              </w:rPr>
              <w:t>.</w:t>
            </w:r>
          </w:p>
          <w:p w:rsidR="00B06977" w:rsidRDefault="00B06977" w:rsidP="00F1244B">
            <w:pPr>
              <w:jc w:val="both"/>
              <w:rPr>
                <w:lang w:val="fr-BE"/>
              </w:rPr>
            </w:pPr>
            <w:r>
              <w:rPr>
                <w:lang w:val="fr-BE"/>
              </w:rPr>
              <w:t>L’interdiction ne vise que les sommes déjà versées. Ainsi, la disposition ne prohibe pas la clause par laquelle l’entreprise se réserverait une indemnité</w:t>
            </w:r>
            <w:r w:rsidR="00C11236">
              <w:rPr>
                <w:lang w:val="fr-BE"/>
              </w:rPr>
              <w:t xml:space="preserve"> qui serait encore à verser</w:t>
            </w:r>
            <w:r>
              <w:rPr>
                <w:lang w:val="fr-BE"/>
              </w:rPr>
              <w:t xml:space="preserve"> pour couvrir</w:t>
            </w:r>
            <w:r w:rsidR="00C11236">
              <w:rPr>
                <w:lang w:val="fr-BE"/>
              </w:rPr>
              <w:t>, par exemple,</w:t>
            </w:r>
            <w:r>
              <w:rPr>
                <w:lang w:val="fr-BE"/>
              </w:rPr>
              <w:t xml:space="preserve"> les frais qu’elle a exposés</w:t>
            </w:r>
            <w:r>
              <w:rPr>
                <w:rStyle w:val="Appelnotedebasdep"/>
                <w:lang w:val="fr-BE"/>
              </w:rPr>
              <w:footnoteReference w:id="76"/>
            </w:r>
            <w:r>
              <w:rPr>
                <w:lang w:val="fr-BE"/>
              </w:rPr>
              <w:t xml:space="preserve">. </w:t>
            </w:r>
          </w:p>
          <w:p w:rsidR="00B06977" w:rsidRDefault="00B06977" w:rsidP="00F1244B">
            <w:pPr>
              <w:jc w:val="both"/>
              <w:rPr>
                <w:lang w:val="fr-BE"/>
              </w:rPr>
            </w:pPr>
          </w:p>
          <w:p w:rsidR="00B06977" w:rsidRDefault="00B06977" w:rsidP="00833F8C">
            <w:pPr>
              <w:jc w:val="both"/>
              <w:rPr>
                <w:lang w:val="fr-BE"/>
              </w:rPr>
            </w:pPr>
            <w:r>
              <w:rPr>
                <w:lang w:val="fr-BE"/>
              </w:rPr>
              <w:t>Pour rappel, les clauses de dédit, à savoir celles qui permettent au consommateur de résilier le contrat moyennant abandon des sommes versées ne sont pas régies par cette disposition mais par l’article VI.83, 27°, du CDE.</w:t>
            </w:r>
          </w:p>
          <w:p w:rsidR="004F2B3C" w:rsidRDefault="004F2B3C" w:rsidP="00833F8C">
            <w:pPr>
              <w:jc w:val="both"/>
              <w:rPr>
                <w:lang w:val="fr-BE"/>
              </w:rPr>
            </w:pPr>
          </w:p>
          <w:p w:rsidR="004F2B3C" w:rsidRDefault="004F2B3C" w:rsidP="00833F8C">
            <w:pPr>
              <w:jc w:val="both"/>
              <w:rPr>
                <w:lang w:val="fr-BE"/>
              </w:rPr>
            </w:pPr>
            <w:r>
              <w:rPr>
                <w:lang w:val="fr-BE"/>
              </w:rPr>
              <w:t xml:space="preserve">Nous renvoyons le lecteur à la contribution de K. </w:t>
            </w:r>
            <w:proofErr w:type="spellStart"/>
            <w:r>
              <w:rPr>
                <w:lang w:val="fr-BE"/>
              </w:rPr>
              <w:t>Troch</w:t>
            </w:r>
            <w:proofErr w:type="spellEnd"/>
            <w:r>
              <w:rPr>
                <w:lang w:val="fr-BE"/>
              </w:rPr>
              <w:t>, dans le présent ouvrage, sur les clauses de durée.</w:t>
            </w:r>
          </w:p>
        </w:tc>
      </w:tr>
      <w:tr w:rsidR="00B06977" w:rsidRPr="00151932" w:rsidTr="00B06977">
        <w:tc>
          <w:tcPr>
            <w:tcW w:w="4248" w:type="dxa"/>
          </w:tcPr>
          <w:p w:rsidR="00B06977" w:rsidRDefault="00B06977" w:rsidP="008B6B30">
            <w:pPr>
              <w:jc w:val="both"/>
              <w:rPr>
                <w:lang w:val="fr-BE"/>
              </w:rPr>
            </w:pPr>
            <w:r>
              <w:rPr>
                <w:lang w:val="fr-BE"/>
              </w:rPr>
              <w:lastRenderedPageBreak/>
              <w:t>VI.83, 29°</w:t>
            </w:r>
            <w:r w:rsidR="00E05D52">
              <w:rPr>
                <w:lang w:val="fr-BE"/>
              </w:rPr>
              <w:t>, du CDE</w:t>
            </w:r>
            <w:r>
              <w:rPr>
                <w:lang w:val="fr-BE"/>
              </w:rPr>
              <w:t> : « </w:t>
            </w:r>
            <w:r w:rsidRPr="008B6B30">
              <w:rPr>
                <w:i/>
                <w:lang w:val="fr-BE"/>
              </w:rPr>
              <w:t>restreindre l’obligation de l’entreprise de respecter les engagements pris par ses mandataires, ou de soumettre</w:t>
            </w:r>
            <w:r w:rsidRPr="001B4A6C">
              <w:rPr>
                <w:lang w:val="fr-BE"/>
              </w:rPr>
              <w:t xml:space="preserve"> </w:t>
            </w:r>
            <w:r w:rsidRPr="008B6B30">
              <w:rPr>
                <w:i/>
                <w:lang w:val="fr-BE"/>
              </w:rPr>
              <w:t>ses engagements au respect d’une formalité particulière</w:t>
            </w:r>
            <w:r>
              <w:rPr>
                <w:lang w:val="fr-BE"/>
              </w:rPr>
              <w:t> »</w:t>
            </w:r>
          </w:p>
          <w:p w:rsidR="00B06977" w:rsidRDefault="00B06977" w:rsidP="008B6B30">
            <w:pPr>
              <w:jc w:val="both"/>
              <w:rPr>
                <w:lang w:val="fr-BE"/>
              </w:rPr>
            </w:pPr>
          </w:p>
          <w:p w:rsidR="00B06977" w:rsidRDefault="00B06977" w:rsidP="00E7773C">
            <w:pPr>
              <w:jc w:val="both"/>
              <w:rPr>
                <w:lang w:val="fr-BE"/>
              </w:rPr>
            </w:pPr>
            <w:r>
              <w:rPr>
                <w:lang w:val="fr-BE"/>
              </w:rPr>
              <w:t xml:space="preserve">Clause figurant dans la </w:t>
            </w:r>
            <w:r w:rsidRPr="00E7773C">
              <w:rPr>
                <w:b/>
                <w:lang w:val="fr-BE"/>
              </w:rPr>
              <w:t>liste noire</w:t>
            </w:r>
            <w:r>
              <w:rPr>
                <w:lang w:val="fr-BE"/>
              </w:rPr>
              <w:t>, abusive en toutes circonstances</w:t>
            </w:r>
          </w:p>
        </w:tc>
        <w:tc>
          <w:tcPr>
            <w:tcW w:w="4252" w:type="dxa"/>
          </w:tcPr>
          <w:p w:rsidR="00B06977" w:rsidRDefault="00B06977" w:rsidP="00E7773C">
            <w:pPr>
              <w:jc w:val="both"/>
              <w:rPr>
                <w:lang w:val="fr-BE"/>
              </w:rPr>
            </w:pPr>
          </w:p>
        </w:tc>
        <w:tc>
          <w:tcPr>
            <w:tcW w:w="4395" w:type="dxa"/>
          </w:tcPr>
          <w:p w:rsidR="00B06977" w:rsidRDefault="00B06977" w:rsidP="00533A52">
            <w:pPr>
              <w:jc w:val="both"/>
              <w:rPr>
                <w:lang w:val="fr-BE"/>
              </w:rPr>
            </w:pPr>
            <w:r>
              <w:rPr>
                <w:lang w:val="fr-BE"/>
              </w:rPr>
              <w:t>Conformément au droit commun, le mandant est tenu de respecter les engagements pris par le mandataire dans les limites de ses pouvoirs. La disposition vise ainsi à interdire les clauses qui entravent le jeu normal de la représentation</w:t>
            </w:r>
            <w:r>
              <w:rPr>
                <w:rStyle w:val="Appelnotedebasdep"/>
                <w:lang w:val="fr-BE"/>
              </w:rPr>
              <w:footnoteReference w:id="77"/>
            </w:r>
            <w:r>
              <w:rPr>
                <w:lang w:val="fr-BE"/>
              </w:rPr>
              <w:t>. En</w:t>
            </w:r>
            <w:r w:rsidR="008F71A0">
              <w:rPr>
                <w:lang w:val="fr-BE"/>
              </w:rPr>
              <w:t xml:space="preserve"> un certain </w:t>
            </w:r>
            <w:r>
              <w:rPr>
                <w:lang w:val="fr-BE"/>
              </w:rPr>
              <w:t>sens, l’article VI.83, 29°, du CDE poursuit le même objectif que la théorie du mandat apparent, suivant laquelle le mandant peut être tenu, alors même que le mandataire a agi sans pouvoir, lorsqu’il a, par son comportement même non fautif contribué à créer ou à laisser subsister cette apparence</w:t>
            </w:r>
            <w:r>
              <w:rPr>
                <w:rStyle w:val="Appelnotedebasdep"/>
                <w:lang w:val="fr-BE"/>
              </w:rPr>
              <w:footnoteReference w:id="78"/>
            </w:r>
            <w:r>
              <w:rPr>
                <w:lang w:val="fr-BE"/>
              </w:rPr>
              <w:t xml:space="preserve"> et pour autant que la croyance du tiers à l’étendue des pouvoirs du mandataire soit légitime</w:t>
            </w:r>
            <w:r>
              <w:rPr>
                <w:rStyle w:val="Appelnotedebasdep"/>
                <w:lang w:val="fr-BE"/>
              </w:rPr>
              <w:footnoteReference w:id="79"/>
            </w:r>
            <w:r>
              <w:rPr>
                <w:lang w:val="fr-BE"/>
              </w:rPr>
              <w:t xml:space="preserve">. </w:t>
            </w:r>
          </w:p>
          <w:p w:rsidR="00B06977" w:rsidRDefault="00B06977" w:rsidP="00533A52">
            <w:pPr>
              <w:jc w:val="both"/>
              <w:rPr>
                <w:lang w:val="fr-BE"/>
              </w:rPr>
            </w:pPr>
          </w:p>
          <w:p w:rsidR="00B06977" w:rsidRDefault="00B06977" w:rsidP="00F1244B">
            <w:pPr>
              <w:jc w:val="both"/>
              <w:rPr>
                <w:lang w:val="fr-BE"/>
              </w:rPr>
            </w:pPr>
            <w:r>
              <w:rPr>
                <w:lang w:val="fr-BE"/>
              </w:rPr>
              <w:t>Par ailleurs, l’article VI.83, 29°, du CDE prohibe les clauses qui soumettent les engagements de l’entreprise à une formalité particulière qui n’est pas prévue par la loi. Tel serait le cas de la clause qui stipulerait que l’achat effectué par un mandataire de l’entreprise ne serait effectif qu’après confirmation écrite du mandant</w:t>
            </w:r>
            <w:r>
              <w:rPr>
                <w:rStyle w:val="Appelnotedebasdep"/>
                <w:lang w:val="fr-BE"/>
              </w:rPr>
              <w:footnoteReference w:id="80"/>
            </w:r>
            <w:r>
              <w:rPr>
                <w:lang w:val="fr-BE"/>
              </w:rPr>
              <w:t xml:space="preserve">. L’on constatera que, sur ce point, l’article VI.83, </w:t>
            </w:r>
            <w:r>
              <w:rPr>
                <w:lang w:val="fr-BE"/>
              </w:rPr>
              <w:lastRenderedPageBreak/>
              <w:t>29°</w:t>
            </w:r>
            <w:r w:rsidR="007E1207">
              <w:rPr>
                <w:lang w:val="fr-BE"/>
              </w:rPr>
              <w:t>, du CDE</w:t>
            </w:r>
            <w:r>
              <w:rPr>
                <w:lang w:val="fr-BE"/>
              </w:rPr>
              <w:t xml:space="preserve"> rejoint partiellement le prescrit de l’article VI.83, 1°, du CDE. </w:t>
            </w:r>
          </w:p>
          <w:p w:rsidR="001F767C" w:rsidRDefault="001F767C" w:rsidP="00F1244B">
            <w:pPr>
              <w:jc w:val="both"/>
              <w:rPr>
                <w:lang w:val="fr-BE"/>
              </w:rPr>
            </w:pPr>
          </w:p>
          <w:p w:rsidR="001F767C" w:rsidRDefault="001F767C" w:rsidP="00F1244B">
            <w:pPr>
              <w:jc w:val="both"/>
              <w:rPr>
                <w:lang w:val="fr-BE"/>
              </w:rPr>
            </w:pPr>
            <w:r>
              <w:rPr>
                <w:lang w:val="fr-BE"/>
              </w:rPr>
              <w:t xml:space="preserve">Nous renvoyons le lecteur à la contribution de C.-E. Lambert et de R. </w:t>
            </w:r>
            <w:proofErr w:type="spellStart"/>
            <w:r>
              <w:rPr>
                <w:lang w:val="fr-BE"/>
              </w:rPr>
              <w:t>Thüngen</w:t>
            </w:r>
            <w:proofErr w:type="spellEnd"/>
            <w:r>
              <w:rPr>
                <w:lang w:val="fr-BE"/>
              </w:rPr>
              <w:t>, dans le présent ouvrage, sur les clauses d’inexécution.</w:t>
            </w:r>
          </w:p>
        </w:tc>
      </w:tr>
      <w:tr w:rsidR="00B06977" w:rsidRPr="00151932" w:rsidTr="00B06977">
        <w:tc>
          <w:tcPr>
            <w:tcW w:w="4248" w:type="dxa"/>
          </w:tcPr>
          <w:p w:rsidR="00B06977" w:rsidRDefault="00B06977" w:rsidP="00E7773C">
            <w:pPr>
              <w:jc w:val="both"/>
              <w:rPr>
                <w:lang w:val="fr-BE"/>
              </w:rPr>
            </w:pPr>
            <w:r>
              <w:rPr>
                <w:lang w:val="fr-BE"/>
              </w:rPr>
              <w:lastRenderedPageBreak/>
              <w:t>VI.83, 30°</w:t>
            </w:r>
            <w:r w:rsidR="00E05D52">
              <w:rPr>
                <w:lang w:val="fr-BE"/>
              </w:rPr>
              <w:t>, du CDE</w:t>
            </w:r>
            <w:r>
              <w:rPr>
                <w:lang w:val="fr-BE"/>
              </w:rPr>
              <w:t> : « </w:t>
            </w:r>
            <w:r w:rsidRPr="002009A9">
              <w:rPr>
                <w:i/>
                <w:lang w:val="fr-BE"/>
              </w:rPr>
              <w:t>exclure ou limiter de façon inappropriée les droits légaux</w:t>
            </w:r>
            <w:r>
              <w:rPr>
                <w:i/>
                <w:lang w:val="fr-BE"/>
              </w:rPr>
              <w:t xml:space="preserve"> du consommateur vis-à-vis de l’entreprise ou d’</w:t>
            </w:r>
            <w:r w:rsidRPr="002009A9">
              <w:rPr>
                <w:i/>
                <w:lang w:val="fr-BE"/>
              </w:rPr>
              <w:t>une autre partie en cas de non-exé</w:t>
            </w:r>
            <w:r>
              <w:rPr>
                <w:i/>
                <w:lang w:val="fr-BE"/>
              </w:rPr>
              <w:t>cution totale ou partielle ou d’exécution défectueuse par l’entreprise d’</w:t>
            </w:r>
            <w:r w:rsidRPr="002009A9">
              <w:rPr>
                <w:i/>
                <w:lang w:val="fr-BE"/>
              </w:rPr>
              <w:t>une quelconque de ses obligations contractuelles</w:t>
            </w:r>
            <w:r>
              <w:rPr>
                <w:lang w:val="fr-BE"/>
              </w:rPr>
              <w:t> »</w:t>
            </w:r>
          </w:p>
          <w:p w:rsidR="00B06977" w:rsidRDefault="00B06977" w:rsidP="00E7773C">
            <w:pPr>
              <w:jc w:val="both"/>
              <w:rPr>
                <w:lang w:val="fr-BE"/>
              </w:rPr>
            </w:pPr>
          </w:p>
          <w:p w:rsidR="00B06977" w:rsidRDefault="00B06977" w:rsidP="008B6B30">
            <w:pPr>
              <w:jc w:val="both"/>
              <w:rPr>
                <w:lang w:val="fr-BE"/>
              </w:rPr>
            </w:pPr>
            <w:r>
              <w:rPr>
                <w:lang w:val="fr-BE"/>
              </w:rPr>
              <w:t xml:space="preserve">Clause figurant dans la </w:t>
            </w:r>
            <w:r w:rsidRPr="00E7773C">
              <w:rPr>
                <w:b/>
                <w:lang w:val="fr-BE"/>
              </w:rPr>
              <w:t>liste noire</w:t>
            </w:r>
            <w:r>
              <w:rPr>
                <w:lang w:val="fr-BE"/>
              </w:rPr>
              <w:t>, abusive en toutes circonstances</w:t>
            </w:r>
          </w:p>
        </w:tc>
        <w:tc>
          <w:tcPr>
            <w:tcW w:w="4252" w:type="dxa"/>
          </w:tcPr>
          <w:p w:rsidR="00B06977" w:rsidRDefault="00B06977" w:rsidP="00E7773C">
            <w:pPr>
              <w:jc w:val="both"/>
              <w:rPr>
                <w:lang w:val="fr-BE"/>
              </w:rPr>
            </w:pPr>
            <w:r>
              <w:rPr>
                <w:lang w:val="fr-BE"/>
              </w:rPr>
              <w:t>VI.91/5, 4°</w:t>
            </w:r>
            <w:r w:rsidR="00E05D52">
              <w:rPr>
                <w:lang w:val="fr-BE"/>
              </w:rPr>
              <w:t>, du CDE</w:t>
            </w:r>
            <w:r>
              <w:rPr>
                <w:lang w:val="fr-BE"/>
              </w:rPr>
              <w:t> : « </w:t>
            </w:r>
            <w:r w:rsidRPr="002009A9">
              <w:rPr>
                <w:i/>
                <w:lang w:val="fr-BE"/>
              </w:rPr>
              <w:t>exclure ou limiter de façon inappropriée les droits légaux d’une partie, en cas de non-exécution totale ou partielle ou d’exécution défectueuse par l’autre entreprise d’une de ses obligations contractuelles</w:t>
            </w:r>
            <w:r>
              <w:rPr>
                <w:lang w:val="fr-BE"/>
              </w:rPr>
              <w:t> »</w:t>
            </w:r>
          </w:p>
          <w:p w:rsidR="00B06977" w:rsidRDefault="00B06977" w:rsidP="00E7773C">
            <w:pPr>
              <w:jc w:val="both"/>
              <w:rPr>
                <w:lang w:val="fr-BE"/>
              </w:rPr>
            </w:pPr>
          </w:p>
          <w:p w:rsidR="00B06977" w:rsidRDefault="00B06977" w:rsidP="00DF0008">
            <w:pPr>
              <w:jc w:val="both"/>
              <w:rPr>
                <w:lang w:val="fr-BE"/>
              </w:rPr>
            </w:pPr>
            <w:r w:rsidRPr="002009A9">
              <w:rPr>
                <w:lang w:val="fr-BE"/>
              </w:rPr>
              <w:t>Cla</w:t>
            </w:r>
            <w:r>
              <w:rPr>
                <w:lang w:val="fr-BE"/>
              </w:rPr>
              <w:t xml:space="preserve">use figurant dans la liste </w:t>
            </w:r>
            <w:r>
              <w:rPr>
                <w:b/>
                <w:lang w:val="fr-BE"/>
              </w:rPr>
              <w:t>grise</w:t>
            </w:r>
            <w:r w:rsidRPr="002009A9">
              <w:rPr>
                <w:lang w:val="fr-BE"/>
              </w:rPr>
              <w:t xml:space="preserve">, abusive </w:t>
            </w:r>
            <w:r>
              <w:rPr>
                <w:lang w:val="fr-BE"/>
              </w:rPr>
              <w:t>sauf preuve contraire</w:t>
            </w:r>
          </w:p>
          <w:p w:rsidR="00A85DEF" w:rsidRDefault="00A85DEF" w:rsidP="00DF0008">
            <w:pPr>
              <w:jc w:val="both"/>
              <w:rPr>
                <w:lang w:val="fr-BE"/>
              </w:rPr>
            </w:pPr>
          </w:p>
          <w:p w:rsidR="00A85DEF" w:rsidRDefault="009728FE" w:rsidP="00C51AFC">
            <w:pPr>
              <w:jc w:val="both"/>
              <w:rPr>
                <w:lang w:val="fr-BE"/>
              </w:rPr>
            </w:pPr>
            <w:r w:rsidRPr="009728FE">
              <w:rPr>
                <w:b/>
                <w:lang w:val="fr-BE"/>
              </w:rPr>
              <w:t>B2B</w:t>
            </w:r>
            <w:r>
              <w:rPr>
                <w:lang w:val="fr-BE"/>
              </w:rPr>
              <w:t xml:space="preserve"> </w:t>
            </w:r>
            <w:r w:rsidR="00B06977">
              <w:rPr>
                <w:lang w:val="fr-BE"/>
              </w:rPr>
              <w:t>Selon les travaux préparatoires</w:t>
            </w:r>
            <w:r w:rsidR="00B06977">
              <w:rPr>
                <w:rStyle w:val="Appelnotedebasdep"/>
                <w:lang w:val="fr-BE"/>
              </w:rPr>
              <w:footnoteReference w:id="81"/>
            </w:r>
            <w:r w:rsidR="00B06977">
              <w:rPr>
                <w:lang w:val="fr-BE"/>
              </w:rPr>
              <w:t>,</w:t>
            </w:r>
            <w:r w:rsidR="00B06977" w:rsidRPr="00C51AFC">
              <w:rPr>
                <w:lang w:val="fr-BE"/>
              </w:rPr>
              <w:t xml:space="preserve"> </w:t>
            </w:r>
            <w:r w:rsidR="00B06977">
              <w:rPr>
                <w:lang w:val="fr-BE"/>
              </w:rPr>
              <w:t>l</w:t>
            </w:r>
            <w:r w:rsidR="00B06977" w:rsidRPr="00C51AFC">
              <w:rPr>
                <w:lang w:val="fr-BE"/>
              </w:rPr>
              <w:t>es</w:t>
            </w:r>
            <w:r w:rsidR="00B06977">
              <w:rPr>
                <w:lang w:val="fr-BE"/>
              </w:rPr>
              <w:t> </w:t>
            </w:r>
            <w:r w:rsidR="00B06977" w:rsidRPr="00C51AFC">
              <w:rPr>
                <w:lang w:val="fr-BE"/>
              </w:rPr>
              <w:t xml:space="preserve"> </w:t>
            </w:r>
            <w:r w:rsidR="00B06977">
              <w:rPr>
                <w:lang w:val="fr-BE"/>
              </w:rPr>
              <w:t>« </w:t>
            </w:r>
            <w:r w:rsidR="00B06977" w:rsidRPr="00C51AFC">
              <w:rPr>
                <w:i/>
                <w:lang w:val="fr-BE"/>
              </w:rPr>
              <w:t>règles normales de droit civil serviront notamment à apprécier s’il est question d’une “limitation inappropriée” des droits légaux d’une partie</w:t>
            </w:r>
            <w:r w:rsidR="00B06977">
              <w:rPr>
                <w:i/>
                <w:lang w:val="fr-BE"/>
              </w:rPr>
              <w:t>.</w:t>
            </w:r>
            <w:r w:rsidR="00B06977">
              <w:rPr>
                <w:lang w:val="fr-BE"/>
              </w:rPr>
              <w:t> </w:t>
            </w:r>
            <w:r w:rsidR="00B06977" w:rsidRPr="00C51AFC">
              <w:rPr>
                <w:i/>
                <w:lang w:val="fr-BE"/>
              </w:rPr>
              <w:t>On peut, par exemple, penser aux règles relatives à la prescription pour la constatation des défauts de conformité aux biens</w:t>
            </w:r>
            <w:r w:rsidR="00B06977">
              <w:rPr>
                <w:lang w:val="fr-BE"/>
              </w:rPr>
              <w:t xml:space="preserve"> »</w:t>
            </w:r>
            <w:r w:rsidR="00B06977" w:rsidRPr="00C51AFC">
              <w:rPr>
                <w:lang w:val="fr-BE"/>
              </w:rPr>
              <w:t>.</w:t>
            </w:r>
            <w:r w:rsidR="00B06977">
              <w:rPr>
                <w:lang w:val="fr-BE"/>
              </w:rPr>
              <w:t xml:space="preserve"> </w:t>
            </w:r>
          </w:p>
          <w:p w:rsidR="00B06977" w:rsidRDefault="00B06977" w:rsidP="00E7773C">
            <w:pPr>
              <w:jc w:val="both"/>
              <w:rPr>
                <w:lang w:val="fr-BE"/>
              </w:rPr>
            </w:pPr>
            <w:r>
              <w:rPr>
                <w:lang w:val="fr-BE"/>
              </w:rPr>
              <w:lastRenderedPageBreak/>
              <w:t xml:space="preserve">Dans le cadre des relations </w:t>
            </w:r>
            <w:r w:rsidRPr="007E1207">
              <w:rPr>
                <w:b/>
                <w:lang w:val="fr-BE"/>
              </w:rPr>
              <w:t>B2B</w:t>
            </w:r>
            <w:r>
              <w:rPr>
                <w:lang w:val="fr-BE"/>
              </w:rPr>
              <w:t>, il reste possible de justifier une limitation ou une exclusion au regard du droit commun de la responsabilité. Ainsi, l’exclusion des dommages indirects non prévisibles en leur principe ou encore l’exclusion des vices indécelables ne peuvent en aucun cas être considérés comme « une exclusion ou limitation inappropriée » des droits légaux de l’autre partie</w:t>
            </w:r>
            <w:r>
              <w:rPr>
                <w:rStyle w:val="Appelnotedebasdep"/>
                <w:lang w:val="fr-BE"/>
              </w:rPr>
              <w:footnoteReference w:id="82"/>
            </w:r>
            <w:r>
              <w:rPr>
                <w:lang w:val="fr-BE"/>
              </w:rPr>
              <w:t xml:space="preserve">. </w:t>
            </w:r>
          </w:p>
          <w:p w:rsidR="009D4DBD" w:rsidRDefault="009D4DBD" w:rsidP="00E7773C">
            <w:pPr>
              <w:jc w:val="both"/>
              <w:rPr>
                <w:lang w:val="fr-BE"/>
              </w:rPr>
            </w:pPr>
          </w:p>
          <w:p w:rsidR="009D4DBD" w:rsidRDefault="009D4DBD" w:rsidP="00DC76DC">
            <w:pPr>
              <w:jc w:val="both"/>
              <w:rPr>
                <w:lang w:val="fr-BE"/>
              </w:rPr>
            </w:pPr>
            <w:r>
              <w:rPr>
                <w:lang w:val="fr-BE"/>
              </w:rPr>
              <w:t>Il semble, en tout cas, qu’une dérogation au droit commun ne suffise pas, à elle seule, à invalider la clause. Le juge devra faire preuve d’une certaine retenue dans l’appréciation du caractère abusif</w:t>
            </w:r>
            <w:r w:rsidR="00DC76DC">
              <w:rPr>
                <w:lang w:val="fr-BE"/>
              </w:rPr>
              <w:t xml:space="preserve"> de la stipulation en cause</w:t>
            </w:r>
            <w:r>
              <w:rPr>
                <w:rStyle w:val="Appelnotedebasdep"/>
                <w:lang w:val="fr-BE"/>
              </w:rPr>
              <w:footnoteReference w:id="83"/>
            </w:r>
            <w:r>
              <w:rPr>
                <w:lang w:val="fr-BE"/>
              </w:rPr>
              <w:t xml:space="preserve">. </w:t>
            </w:r>
          </w:p>
        </w:tc>
        <w:tc>
          <w:tcPr>
            <w:tcW w:w="4395" w:type="dxa"/>
          </w:tcPr>
          <w:p w:rsidR="00B06977" w:rsidRDefault="006E6709" w:rsidP="00E7773C">
            <w:pPr>
              <w:jc w:val="both"/>
              <w:rPr>
                <w:lang w:val="fr-BE"/>
              </w:rPr>
            </w:pPr>
            <w:r>
              <w:rPr>
                <w:lang w:val="fr-BE"/>
              </w:rPr>
              <w:lastRenderedPageBreak/>
              <w:t>Ces dispositions</w:t>
            </w:r>
            <w:r w:rsidR="00B06977">
              <w:rPr>
                <w:lang w:val="fr-BE"/>
              </w:rPr>
              <w:t xml:space="preserve"> « fourre-tout » confère</w:t>
            </w:r>
            <w:r>
              <w:rPr>
                <w:lang w:val="fr-BE"/>
              </w:rPr>
              <w:t>nt</w:t>
            </w:r>
            <w:r w:rsidR="00B06977">
              <w:rPr>
                <w:lang w:val="fr-BE"/>
              </w:rPr>
              <w:t xml:space="preserve"> au juge une large liberté d’appréciation pour évaluer le caractère abusif d’une clause. </w:t>
            </w:r>
          </w:p>
          <w:p w:rsidR="00B06977" w:rsidRDefault="007E1207" w:rsidP="00173D22">
            <w:pPr>
              <w:jc w:val="both"/>
              <w:rPr>
                <w:lang w:val="fr-BE"/>
              </w:rPr>
            </w:pPr>
            <w:r w:rsidRPr="007E1207">
              <w:rPr>
                <w:b/>
                <w:lang w:val="fr-BE"/>
              </w:rPr>
              <w:t>B2B et B2C</w:t>
            </w:r>
            <w:r>
              <w:rPr>
                <w:lang w:val="fr-BE"/>
              </w:rPr>
              <w:t xml:space="preserve"> </w:t>
            </w:r>
            <w:r w:rsidR="00B06977">
              <w:rPr>
                <w:lang w:val="fr-BE"/>
              </w:rPr>
              <w:t xml:space="preserve">Les « droits légaux » d’une partie </w:t>
            </w:r>
            <w:r w:rsidR="00B06977" w:rsidRPr="00DF0008">
              <w:rPr>
                <w:lang w:val="fr-BE"/>
              </w:rPr>
              <w:t>recouvrent l’ensemble des moyens de</w:t>
            </w:r>
            <w:r w:rsidR="00B06977">
              <w:rPr>
                <w:lang w:val="fr-BE"/>
              </w:rPr>
              <w:t xml:space="preserve"> </w:t>
            </w:r>
            <w:r w:rsidR="00B06977" w:rsidRPr="00DF0008">
              <w:rPr>
                <w:lang w:val="fr-BE"/>
              </w:rPr>
              <w:t xml:space="preserve">recours que le droit reconnaît à </w:t>
            </w:r>
            <w:r w:rsidR="00B06977">
              <w:rPr>
                <w:lang w:val="fr-BE"/>
              </w:rPr>
              <w:t xml:space="preserve">celle-ci </w:t>
            </w:r>
            <w:r w:rsidR="00B06977" w:rsidRPr="00DF0008">
              <w:rPr>
                <w:lang w:val="fr-BE"/>
              </w:rPr>
              <w:t>en cas d’inexécution d’une obligation</w:t>
            </w:r>
            <w:r w:rsidR="00B06977">
              <w:rPr>
                <w:lang w:val="fr-BE"/>
              </w:rPr>
              <w:t xml:space="preserve"> </w:t>
            </w:r>
            <w:r w:rsidR="00B06977" w:rsidRPr="00DF0008">
              <w:rPr>
                <w:lang w:val="fr-BE"/>
              </w:rPr>
              <w:t>contractuelle et ce, que l’inexécution soit totale ou partielle ou encore qu’il s’agisse</w:t>
            </w:r>
            <w:r w:rsidR="00B06977">
              <w:rPr>
                <w:lang w:val="fr-BE"/>
              </w:rPr>
              <w:t xml:space="preserve"> </w:t>
            </w:r>
            <w:r w:rsidR="00B06977" w:rsidRPr="00DF0008">
              <w:rPr>
                <w:lang w:val="fr-BE"/>
              </w:rPr>
              <w:t>d’une exécution défectueuse ou tardive</w:t>
            </w:r>
            <w:r w:rsidR="00B06977">
              <w:rPr>
                <w:lang w:val="fr-BE"/>
              </w:rPr>
              <w:t>.</w:t>
            </w:r>
            <w:r w:rsidR="00F1490F">
              <w:rPr>
                <w:lang w:val="fr-BE"/>
              </w:rPr>
              <w:t xml:space="preserve"> Par ailleurs, il semble que même l’inexécution fortuite – non fautive – soit également visée</w:t>
            </w:r>
            <w:r w:rsidR="00F1490F">
              <w:rPr>
                <w:rStyle w:val="Appelnotedebasdep"/>
                <w:lang w:val="fr-BE"/>
              </w:rPr>
              <w:footnoteReference w:id="84"/>
            </w:r>
            <w:r w:rsidR="0011204C">
              <w:rPr>
                <w:lang w:val="fr-BE"/>
              </w:rPr>
              <w:t>. La règle viserait  donc également les cas d’inexécution</w:t>
            </w:r>
            <w:r w:rsidR="009D09C0">
              <w:rPr>
                <w:lang w:val="fr-BE"/>
              </w:rPr>
              <w:t>s</w:t>
            </w:r>
            <w:r w:rsidR="0011204C">
              <w:rPr>
                <w:lang w:val="fr-BE"/>
              </w:rPr>
              <w:t xml:space="preserve"> consécutive</w:t>
            </w:r>
            <w:r w:rsidR="009D09C0">
              <w:rPr>
                <w:lang w:val="fr-BE"/>
              </w:rPr>
              <w:t>s</w:t>
            </w:r>
            <w:r w:rsidR="0011204C">
              <w:rPr>
                <w:lang w:val="fr-BE"/>
              </w:rPr>
              <w:t xml:space="preserve"> à la force majeure. </w:t>
            </w:r>
            <w:r w:rsidR="00B06977" w:rsidRPr="00173D22">
              <w:rPr>
                <w:lang w:val="fr-BE"/>
              </w:rPr>
              <w:t xml:space="preserve">Parmi </w:t>
            </w:r>
            <w:r w:rsidR="0011204C">
              <w:rPr>
                <w:lang w:val="fr-BE"/>
              </w:rPr>
              <w:t>l</w:t>
            </w:r>
            <w:r w:rsidR="00B06977" w:rsidRPr="00173D22">
              <w:rPr>
                <w:lang w:val="fr-BE"/>
              </w:rPr>
              <w:t>es droits légaux</w:t>
            </w:r>
            <w:r w:rsidR="0011204C">
              <w:rPr>
                <w:lang w:val="fr-BE"/>
              </w:rPr>
              <w:t xml:space="preserve"> dont question</w:t>
            </w:r>
            <w:r w:rsidR="00B06977" w:rsidRPr="00173D22">
              <w:rPr>
                <w:lang w:val="fr-BE"/>
              </w:rPr>
              <w:t>, on peut mentionner les droits relatifs à</w:t>
            </w:r>
            <w:r w:rsidR="00B06977">
              <w:rPr>
                <w:lang w:val="fr-BE"/>
              </w:rPr>
              <w:t xml:space="preserve"> </w:t>
            </w:r>
            <w:r w:rsidR="00B06977" w:rsidRPr="00173D22">
              <w:rPr>
                <w:lang w:val="fr-BE"/>
              </w:rPr>
              <w:t>la réparation, à l’exécution en nature, à l’exception d’inexécution, à la résolution, à la</w:t>
            </w:r>
            <w:r w:rsidR="00B06977">
              <w:rPr>
                <w:lang w:val="fr-BE"/>
              </w:rPr>
              <w:t xml:space="preserve"> </w:t>
            </w:r>
            <w:r w:rsidR="00B06977" w:rsidRPr="00173D22">
              <w:rPr>
                <w:lang w:val="fr-BE"/>
              </w:rPr>
              <w:t xml:space="preserve">compensation, </w:t>
            </w:r>
            <w:r w:rsidR="00B06977">
              <w:rPr>
                <w:lang w:val="fr-BE"/>
              </w:rPr>
              <w:t>etc.</w:t>
            </w:r>
            <w:r w:rsidR="00F1490F">
              <w:rPr>
                <w:rStyle w:val="Appelnotedebasdep"/>
                <w:lang w:val="fr-BE"/>
              </w:rPr>
              <w:footnoteReference w:id="85"/>
            </w:r>
            <w:r w:rsidR="0011204C">
              <w:rPr>
                <w:lang w:val="fr-BE"/>
              </w:rPr>
              <w:t>.</w:t>
            </w:r>
            <w:r w:rsidR="00C11236">
              <w:rPr>
                <w:lang w:val="fr-BE"/>
              </w:rPr>
              <w:t xml:space="preserve"> </w:t>
            </w:r>
          </w:p>
          <w:p w:rsidR="00B06977" w:rsidRDefault="00B06977" w:rsidP="00173D22">
            <w:pPr>
              <w:jc w:val="both"/>
              <w:rPr>
                <w:lang w:val="fr-BE"/>
              </w:rPr>
            </w:pPr>
            <w:r>
              <w:rPr>
                <w:lang w:val="fr-BE"/>
              </w:rPr>
              <w:lastRenderedPageBreak/>
              <w:t xml:space="preserve">Pour apprécier le caractère « inapproprié » de l’exclusion ou de la limitation, </w:t>
            </w:r>
            <w:r w:rsidRPr="00173D22">
              <w:rPr>
                <w:lang w:val="fr-BE"/>
              </w:rPr>
              <w:t>il convient, selon la doctrine, de</w:t>
            </w:r>
            <w:r>
              <w:rPr>
                <w:lang w:val="fr-BE"/>
              </w:rPr>
              <w:t xml:space="preserve"> </w:t>
            </w:r>
            <w:r w:rsidRPr="00173D22">
              <w:rPr>
                <w:lang w:val="fr-BE"/>
              </w:rPr>
              <w:t>tenir compte</w:t>
            </w:r>
            <w:r>
              <w:rPr>
                <w:lang w:val="fr-BE"/>
              </w:rPr>
              <w:t xml:space="preserve"> de l’importance de l’obligation inexécutée ainsi que </w:t>
            </w:r>
            <w:r w:rsidRPr="00173D22">
              <w:rPr>
                <w:lang w:val="fr-BE"/>
              </w:rPr>
              <w:t>de la nature et de la gravité du manquement</w:t>
            </w:r>
            <w:r>
              <w:rPr>
                <w:rStyle w:val="Appelnotedebasdep"/>
                <w:lang w:val="fr-BE"/>
              </w:rPr>
              <w:footnoteReference w:id="86"/>
            </w:r>
            <w:r>
              <w:rPr>
                <w:lang w:val="fr-BE"/>
              </w:rPr>
              <w:t>.</w:t>
            </w:r>
          </w:p>
          <w:p w:rsidR="00B06977" w:rsidRDefault="00B06977" w:rsidP="00DF0008">
            <w:pPr>
              <w:jc w:val="both"/>
              <w:rPr>
                <w:lang w:val="fr-BE"/>
              </w:rPr>
            </w:pPr>
          </w:p>
          <w:p w:rsidR="001F767C" w:rsidRDefault="001F767C" w:rsidP="007F0FA3">
            <w:pPr>
              <w:jc w:val="both"/>
              <w:rPr>
                <w:lang w:val="fr-BE"/>
              </w:rPr>
            </w:pPr>
          </w:p>
          <w:p w:rsidR="001F767C" w:rsidRDefault="001F767C" w:rsidP="007F0FA3">
            <w:pPr>
              <w:jc w:val="both"/>
              <w:rPr>
                <w:lang w:val="fr-BE"/>
              </w:rPr>
            </w:pPr>
          </w:p>
          <w:p w:rsidR="001F767C" w:rsidRDefault="001F767C" w:rsidP="007F0FA3">
            <w:pPr>
              <w:jc w:val="both"/>
              <w:rPr>
                <w:lang w:val="fr-BE"/>
              </w:rPr>
            </w:pPr>
          </w:p>
          <w:p w:rsidR="00B06977" w:rsidRDefault="001F767C" w:rsidP="007F0FA3">
            <w:pPr>
              <w:jc w:val="both"/>
              <w:rPr>
                <w:lang w:val="fr-BE"/>
              </w:rPr>
            </w:pPr>
            <w:r>
              <w:rPr>
                <w:lang w:val="fr-BE"/>
              </w:rPr>
              <w:t xml:space="preserve">Nous renvoyons le lecteur à la contribution de C.-E. Lambert et de R. </w:t>
            </w:r>
            <w:proofErr w:type="spellStart"/>
            <w:r>
              <w:rPr>
                <w:lang w:val="fr-BE"/>
              </w:rPr>
              <w:t>Thüngen</w:t>
            </w:r>
            <w:proofErr w:type="spellEnd"/>
            <w:r>
              <w:rPr>
                <w:lang w:val="fr-BE"/>
              </w:rPr>
              <w:t>, dans le présent ouvrage, sur les clauses d’inexécution.</w:t>
            </w:r>
          </w:p>
        </w:tc>
      </w:tr>
      <w:tr w:rsidR="00B06977" w:rsidRPr="00151932" w:rsidTr="00B06977">
        <w:tc>
          <w:tcPr>
            <w:tcW w:w="4248" w:type="dxa"/>
          </w:tcPr>
          <w:p w:rsidR="00B06977" w:rsidRDefault="00B06977" w:rsidP="00866B35">
            <w:pPr>
              <w:jc w:val="both"/>
              <w:rPr>
                <w:lang w:val="fr-BE"/>
              </w:rPr>
            </w:pPr>
            <w:r>
              <w:rPr>
                <w:lang w:val="fr-BE"/>
              </w:rPr>
              <w:lastRenderedPageBreak/>
              <w:t>VI.83, 31°</w:t>
            </w:r>
            <w:r w:rsidR="00E05D52">
              <w:rPr>
                <w:lang w:val="fr-BE"/>
              </w:rPr>
              <w:t>, du CDE</w:t>
            </w:r>
            <w:r>
              <w:rPr>
                <w:lang w:val="fr-BE"/>
              </w:rPr>
              <w:t> : « </w:t>
            </w:r>
            <w:r w:rsidRPr="00866B35">
              <w:rPr>
                <w:i/>
                <w:lang w:val="fr-BE"/>
              </w:rPr>
              <w:t>prévoir la possibilité de cession du contrat de la part de l’entreprise, lorsque cette [c]</w:t>
            </w:r>
            <w:proofErr w:type="spellStart"/>
            <w:r w:rsidRPr="00866B35">
              <w:rPr>
                <w:i/>
                <w:lang w:val="fr-BE"/>
              </w:rPr>
              <w:t>ession</w:t>
            </w:r>
            <w:proofErr w:type="spellEnd"/>
            <w:r w:rsidRPr="00866B35">
              <w:rPr>
                <w:i/>
                <w:lang w:val="fr-BE"/>
              </w:rPr>
              <w:t xml:space="preserve"> est susceptible d’engendrer une diminution des garanties pour le consommateur, sans l’accord de ce dernier</w:t>
            </w:r>
            <w:r>
              <w:rPr>
                <w:lang w:val="fr-BE"/>
              </w:rPr>
              <w:t> »</w:t>
            </w:r>
          </w:p>
          <w:p w:rsidR="00B06977" w:rsidRDefault="00B06977" w:rsidP="00866B35">
            <w:pPr>
              <w:jc w:val="both"/>
              <w:rPr>
                <w:lang w:val="fr-BE"/>
              </w:rPr>
            </w:pPr>
          </w:p>
          <w:p w:rsidR="00B06977" w:rsidRDefault="00B06977" w:rsidP="00E7773C">
            <w:pPr>
              <w:jc w:val="both"/>
              <w:rPr>
                <w:lang w:val="fr-BE"/>
              </w:rPr>
            </w:pPr>
            <w:r>
              <w:rPr>
                <w:lang w:val="fr-BE"/>
              </w:rPr>
              <w:t xml:space="preserve">Clause figurant dans la </w:t>
            </w:r>
            <w:r w:rsidRPr="00E7773C">
              <w:rPr>
                <w:b/>
                <w:lang w:val="fr-BE"/>
              </w:rPr>
              <w:t>liste noire</w:t>
            </w:r>
            <w:r>
              <w:rPr>
                <w:lang w:val="fr-BE"/>
              </w:rPr>
              <w:t>, abusive en toutes circonstances</w:t>
            </w:r>
          </w:p>
        </w:tc>
        <w:tc>
          <w:tcPr>
            <w:tcW w:w="4252" w:type="dxa"/>
          </w:tcPr>
          <w:p w:rsidR="00B06977" w:rsidRDefault="00B06977" w:rsidP="00C51AFC">
            <w:pPr>
              <w:jc w:val="both"/>
              <w:rPr>
                <w:lang w:val="fr-BE"/>
              </w:rPr>
            </w:pPr>
          </w:p>
        </w:tc>
        <w:tc>
          <w:tcPr>
            <w:tcW w:w="4395" w:type="dxa"/>
          </w:tcPr>
          <w:p w:rsidR="00B06977" w:rsidRDefault="00B06977" w:rsidP="00377847">
            <w:pPr>
              <w:jc w:val="both"/>
              <w:rPr>
                <w:lang w:val="fr-BE"/>
              </w:rPr>
            </w:pPr>
            <w:r>
              <w:rPr>
                <w:lang w:val="fr-BE"/>
              </w:rPr>
              <w:t xml:space="preserve">La cession de contrat de la part de l’entreprise suppose qu’un tiers reprenne les droits et obligations de cette dernière. Sous réserve de législations particulières, la cession d’un contrat synallagmatique requiert à tout le moins l’accord du créancier et ce, que l’on se rattache à la théorie du dépeçage consacrée par la Cour </w:t>
            </w:r>
            <w:r>
              <w:rPr>
                <w:lang w:val="fr-BE"/>
              </w:rPr>
              <w:lastRenderedPageBreak/>
              <w:t>de cassation</w:t>
            </w:r>
            <w:r>
              <w:rPr>
                <w:rStyle w:val="Appelnotedebasdep"/>
                <w:lang w:val="fr-BE"/>
              </w:rPr>
              <w:footnoteReference w:id="87"/>
            </w:r>
            <w:r>
              <w:rPr>
                <w:lang w:val="fr-BE"/>
              </w:rPr>
              <w:t xml:space="preserve"> ou que l’on admette la cession de contrat en tant qu’institution spécifique</w:t>
            </w:r>
            <w:r>
              <w:rPr>
                <w:rStyle w:val="Appelnotedebasdep"/>
                <w:lang w:val="fr-BE"/>
              </w:rPr>
              <w:footnoteReference w:id="88"/>
            </w:r>
            <w:r>
              <w:rPr>
                <w:lang w:val="fr-BE"/>
              </w:rPr>
              <w:t xml:space="preserve">. Il convient, en effet, d’éviter qu’un créancier se voit imposer un autre débiteur moins compétent ou insolvable. </w:t>
            </w:r>
          </w:p>
          <w:p w:rsidR="00B06977" w:rsidRDefault="00B06977" w:rsidP="00377847">
            <w:pPr>
              <w:jc w:val="both"/>
              <w:rPr>
                <w:lang w:val="fr-BE"/>
              </w:rPr>
            </w:pPr>
          </w:p>
          <w:p w:rsidR="00B06977" w:rsidRDefault="00B06977" w:rsidP="00377847">
            <w:pPr>
              <w:jc w:val="both"/>
              <w:rPr>
                <w:lang w:val="fr-BE"/>
              </w:rPr>
            </w:pPr>
            <w:r>
              <w:rPr>
                <w:lang w:val="fr-BE"/>
              </w:rPr>
              <w:t xml:space="preserve">Force est de constater toutefois que certaines clauses prévoient que l’accord du créancier (en l’occurrence, le consommateur, du moins pour ce qui concerne les obligations de l’entreprise) n’est pas nécessaire ou qu’il est acquis dès la conclusion du contrat avec le consommateur (c’est-à-dire avant la cession). </w:t>
            </w:r>
          </w:p>
          <w:p w:rsidR="00B06977" w:rsidRDefault="007E1207" w:rsidP="00796B8B">
            <w:pPr>
              <w:jc w:val="both"/>
              <w:rPr>
                <w:lang w:val="fr-BE"/>
              </w:rPr>
            </w:pPr>
            <w:r>
              <w:rPr>
                <w:lang w:val="fr-BE"/>
              </w:rPr>
              <w:t xml:space="preserve">L’article VI.83, 31°, du CDE </w:t>
            </w:r>
            <w:r w:rsidR="00B06977">
              <w:rPr>
                <w:lang w:val="fr-BE"/>
              </w:rPr>
              <w:t xml:space="preserve">vise ainsi à prohiber les clauses qui dispensent l’entreprise d’obtenir le consentement du consommateur lorsque la cession de contrat est susceptible d’engendrer une diminution </w:t>
            </w:r>
            <w:r w:rsidR="00525BB2">
              <w:rPr>
                <w:lang w:val="fr-BE"/>
              </w:rPr>
              <w:t xml:space="preserve">des garanties pour ce dernier. </w:t>
            </w:r>
          </w:p>
          <w:p w:rsidR="00B06977" w:rsidRDefault="00B06977" w:rsidP="00DD5A4F">
            <w:pPr>
              <w:jc w:val="both"/>
              <w:rPr>
                <w:lang w:val="fr-BE"/>
              </w:rPr>
            </w:pPr>
            <w:r>
              <w:rPr>
                <w:lang w:val="fr-BE"/>
              </w:rPr>
              <w:t xml:space="preserve">Le terme « garanties » doit être entendu de manière large. Il couvre le nom, la réputation, la solvabilité, la fiabilité ainsi que le degré de spécialisation de l’entreprise. De même un simple « risque » (potentiel) de diminution de garanties suffit </w:t>
            </w:r>
            <w:r>
              <w:rPr>
                <w:lang w:val="fr-BE"/>
              </w:rPr>
              <w:lastRenderedPageBreak/>
              <w:t>à entrainer, le cas échéant, l’application de la disposition</w:t>
            </w:r>
            <w:r>
              <w:rPr>
                <w:rStyle w:val="Appelnotedebasdep"/>
                <w:lang w:val="fr-BE"/>
              </w:rPr>
              <w:footnoteReference w:id="89"/>
            </w:r>
            <w:r>
              <w:rPr>
                <w:lang w:val="fr-BE"/>
              </w:rPr>
              <w:t xml:space="preserve">. </w:t>
            </w:r>
          </w:p>
          <w:p w:rsidR="00B06977" w:rsidRDefault="00B06977" w:rsidP="009D09C0">
            <w:pPr>
              <w:jc w:val="both"/>
              <w:rPr>
                <w:lang w:val="fr-BE"/>
              </w:rPr>
            </w:pPr>
            <w:r>
              <w:rPr>
                <w:lang w:val="fr-BE"/>
              </w:rPr>
              <w:t>En tout état de cause, il n’est guère question de diminution de garantie</w:t>
            </w:r>
            <w:r w:rsidR="009D09C0">
              <w:rPr>
                <w:lang w:val="fr-BE"/>
              </w:rPr>
              <w:t>s</w:t>
            </w:r>
            <w:r>
              <w:rPr>
                <w:lang w:val="fr-BE"/>
              </w:rPr>
              <w:t xml:space="preserve"> si le débiteur originaire </w:t>
            </w:r>
            <w:r w:rsidR="009D09C0">
              <w:rPr>
                <w:lang w:val="fr-BE"/>
              </w:rPr>
              <w:t xml:space="preserve">- </w:t>
            </w:r>
            <w:r>
              <w:rPr>
                <w:lang w:val="fr-BE"/>
              </w:rPr>
              <w:t>l’entreprise</w:t>
            </w:r>
            <w:r w:rsidR="009D09C0">
              <w:rPr>
                <w:lang w:val="fr-BE"/>
              </w:rPr>
              <w:t xml:space="preserve"> –</w:t>
            </w:r>
            <w:r>
              <w:rPr>
                <w:lang w:val="fr-BE"/>
              </w:rPr>
              <w:t xml:space="preserve"> re</w:t>
            </w:r>
            <w:r w:rsidR="009D09C0">
              <w:rPr>
                <w:lang w:val="fr-BE"/>
              </w:rPr>
              <w:t>ste tenu</w:t>
            </w:r>
            <w:r>
              <w:rPr>
                <w:lang w:val="fr-BE"/>
              </w:rPr>
              <w:t xml:space="preserve">, aux côtés du cessionnaire, à l’exécution de son obligation. </w:t>
            </w:r>
          </w:p>
          <w:p w:rsidR="004F2B3C" w:rsidRDefault="004F2B3C" w:rsidP="009D09C0">
            <w:pPr>
              <w:jc w:val="both"/>
              <w:rPr>
                <w:lang w:val="fr-BE"/>
              </w:rPr>
            </w:pPr>
          </w:p>
          <w:p w:rsidR="004F2B3C" w:rsidRDefault="004F2B3C" w:rsidP="009D09C0">
            <w:pPr>
              <w:jc w:val="both"/>
              <w:rPr>
                <w:lang w:val="fr-BE"/>
              </w:rPr>
            </w:pPr>
            <w:r>
              <w:rPr>
                <w:lang w:val="fr-BE"/>
              </w:rPr>
              <w:t xml:space="preserve">Nous renvoyons le lecteur à la contribution de M. </w:t>
            </w:r>
            <w:proofErr w:type="spellStart"/>
            <w:r>
              <w:rPr>
                <w:lang w:val="fr-BE"/>
              </w:rPr>
              <w:t>Houbben</w:t>
            </w:r>
            <w:proofErr w:type="spellEnd"/>
            <w:r>
              <w:rPr>
                <w:lang w:val="fr-BE"/>
              </w:rPr>
              <w:t>, dans le présent ouvrage, sur les clauses potestatives.</w:t>
            </w:r>
          </w:p>
        </w:tc>
      </w:tr>
      <w:tr w:rsidR="00B06977" w:rsidRPr="00151932" w:rsidTr="00B06977">
        <w:tc>
          <w:tcPr>
            <w:tcW w:w="4248" w:type="dxa"/>
          </w:tcPr>
          <w:p w:rsidR="00B06977" w:rsidRDefault="00E05D52" w:rsidP="00E7773C">
            <w:pPr>
              <w:jc w:val="both"/>
              <w:rPr>
                <w:lang w:val="fr-BE"/>
              </w:rPr>
            </w:pPr>
            <w:r>
              <w:rPr>
                <w:lang w:val="fr-BE"/>
              </w:rPr>
              <w:lastRenderedPageBreak/>
              <w:t xml:space="preserve">VI.83, 32°, du CDE </w:t>
            </w:r>
            <w:r w:rsidR="00B06977">
              <w:rPr>
                <w:lang w:val="fr-BE"/>
              </w:rPr>
              <w:t>: « </w:t>
            </w:r>
            <w:r w:rsidR="00B06977">
              <w:rPr>
                <w:i/>
                <w:lang w:val="fr-BE"/>
              </w:rPr>
              <w:t>augmenter le prix annoncé d’</w:t>
            </w:r>
            <w:r w:rsidR="00B06977" w:rsidRPr="00866B35">
              <w:rPr>
                <w:i/>
                <w:lang w:val="fr-BE"/>
              </w:rPr>
              <w:t>un produit en raison du refus du consommateur de payer par domiciliation bancaire</w:t>
            </w:r>
            <w:r w:rsidR="00B06977">
              <w:rPr>
                <w:lang w:val="fr-BE"/>
              </w:rPr>
              <w:t> »</w:t>
            </w:r>
          </w:p>
          <w:p w:rsidR="00B06977" w:rsidRDefault="00B06977" w:rsidP="00E7773C">
            <w:pPr>
              <w:jc w:val="both"/>
              <w:rPr>
                <w:lang w:val="fr-BE"/>
              </w:rPr>
            </w:pPr>
          </w:p>
          <w:p w:rsidR="00B06977" w:rsidRDefault="00B06977" w:rsidP="00866B35">
            <w:pPr>
              <w:jc w:val="both"/>
              <w:rPr>
                <w:lang w:val="fr-BE"/>
              </w:rPr>
            </w:pPr>
            <w:r>
              <w:rPr>
                <w:lang w:val="fr-BE"/>
              </w:rPr>
              <w:t xml:space="preserve">Clause figurant dans la </w:t>
            </w:r>
            <w:r w:rsidRPr="00E7773C">
              <w:rPr>
                <w:b/>
                <w:lang w:val="fr-BE"/>
              </w:rPr>
              <w:t>liste noire</w:t>
            </w:r>
            <w:r>
              <w:rPr>
                <w:lang w:val="fr-BE"/>
              </w:rPr>
              <w:t>, abusive en toutes circonstances</w:t>
            </w:r>
          </w:p>
        </w:tc>
        <w:tc>
          <w:tcPr>
            <w:tcW w:w="4252" w:type="dxa"/>
          </w:tcPr>
          <w:p w:rsidR="00B06977" w:rsidRDefault="00B06977" w:rsidP="00E7773C">
            <w:pPr>
              <w:jc w:val="both"/>
              <w:rPr>
                <w:lang w:val="fr-BE"/>
              </w:rPr>
            </w:pPr>
          </w:p>
        </w:tc>
        <w:tc>
          <w:tcPr>
            <w:tcW w:w="4395" w:type="dxa"/>
          </w:tcPr>
          <w:p w:rsidR="004F2B3C" w:rsidRDefault="00B06977" w:rsidP="00E10476">
            <w:pPr>
              <w:jc w:val="both"/>
              <w:rPr>
                <w:lang w:val="fr-BE"/>
              </w:rPr>
            </w:pPr>
            <w:r w:rsidRPr="00E10476">
              <w:rPr>
                <w:lang w:val="fr-BE"/>
              </w:rPr>
              <w:t>Cette disposition n’appelle pas  de commentaire particulier.</w:t>
            </w:r>
          </w:p>
          <w:p w:rsidR="004F2B3C" w:rsidRDefault="004F2B3C" w:rsidP="00E10476">
            <w:pPr>
              <w:jc w:val="both"/>
              <w:rPr>
                <w:lang w:val="fr-BE"/>
              </w:rPr>
            </w:pPr>
          </w:p>
          <w:p w:rsidR="004F2B3C" w:rsidRDefault="004F2B3C" w:rsidP="00E10476">
            <w:pPr>
              <w:jc w:val="both"/>
              <w:rPr>
                <w:lang w:val="fr-BE"/>
              </w:rPr>
            </w:pPr>
          </w:p>
          <w:p w:rsidR="00B06977" w:rsidRDefault="004F2B3C" w:rsidP="00E10476">
            <w:pPr>
              <w:jc w:val="both"/>
              <w:rPr>
                <w:lang w:val="fr-BE"/>
              </w:rPr>
            </w:pPr>
            <w:r>
              <w:rPr>
                <w:lang w:val="fr-BE"/>
              </w:rPr>
              <w:t xml:space="preserve">Nous renvoyons le lecteur à la contribution de M. </w:t>
            </w:r>
            <w:proofErr w:type="spellStart"/>
            <w:r>
              <w:rPr>
                <w:lang w:val="fr-BE"/>
              </w:rPr>
              <w:t>Houbben</w:t>
            </w:r>
            <w:proofErr w:type="spellEnd"/>
            <w:r>
              <w:rPr>
                <w:lang w:val="fr-BE"/>
              </w:rPr>
              <w:t>, dans le présent ouvrage, sur les clauses potestatives.</w:t>
            </w:r>
          </w:p>
        </w:tc>
      </w:tr>
      <w:tr w:rsidR="00B06977" w:rsidRPr="00151932" w:rsidTr="00B06977">
        <w:tc>
          <w:tcPr>
            <w:tcW w:w="4248" w:type="dxa"/>
          </w:tcPr>
          <w:p w:rsidR="00B06977" w:rsidRDefault="00B06977" w:rsidP="00E7773C">
            <w:pPr>
              <w:jc w:val="both"/>
              <w:rPr>
                <w:lang w:val="fr-BE"/>
              </w:rPr>
            </w:pPr>
            <w:r>
              <w:rPr>
                <w:lang w:val="fr-BE"/>
              </w:rPr>
              <w:t>VI.83, 33°</w:t>
            </w:r>
            <w:r w:rsidR="00E05D52">
              <w:rPr>
                <w:lang w:val="fr-BE"/>
              </w:rPr>
              <w:t>, du CDE</w:t>
            </w:r>
            <w:r>
              <w:rPr>
                <w:lang w:val="fr-BE"/>
              </w:rPr>
              <w:t xml:space="preserve"> : </w:t>
            </w:r>
            <w:r w:rsidRPr="00866B35">
              <w:rPr>
                <w:i/>
                <w:lang w:val="fr-BE"/>
              </w:rPr>
              <w:t>« augmenter le prix annoncé pour un produit en raison du refus du consommateur de recevoir ses factures par courrier électronique</w:t>
            </w:r>
            <w:r>
              <w:rPr>
                <w:lang w:val="fr-BE"/>
              </w:rPr>
              <w:t> »</w:t>
            </w:r>
          </w:p>
          <w:p w:rsidR="00B06977" w:rsidRDefault="00B06977" w:rsidP="00E7773C">
            <w:pPr>
              <w:jc w:val="both"/>
              <w:rPr>
                <w:lang w:val="fr-BE"/>
              </w:rPr>
            </w:pPr>
          </w:p>
          <w:p w:rsidR="00B06977" w:rsidRDefault="00B06977" w:rsidP="00E7773C">
            <w:pPr>
              <w:jc w:val="both"/>
              <w:rPr>
                <w:lang w:val="fr-BE"/>
              </w:rPr>
            </w:pPr>
            <w:r>
              <w:rPr>
                <w:lang w:val="fr-BE"/>
              </w:rPr>
              <w:t xml:space="preserve">Clause figurant dans la </w:t>
            </w:r>
            <w:r w:rsidRPr="00E7773C">
              <w:rPr>
                <w:b/>
                <w:lang w:val="fr-BE"/>
              </w:rPr>
              <w:t>liste noire</w:t>
            </w:r>
            <w:r>
              <w:rPr>
                <w:lang w:val="fr-BE"/>
              </w:rPr>
              <w:t>, abusive en toutes circonstances</w:t>
            </w:r>
          </w:p>
        </w:tc>
        <w:tc>
          <w:tcPr>
            <w:tcW w:w="4252" w:type="dxa"/>
          </w:tcPr>
          <w:p w:rsidR="00B06977" w:rsidRDefault="00B06977" w:rsidP="00E7773C">
            <w:pPr>
              <w:jc w:val="both"/>
              <w:rPr>
                <w:lang w:val="fr-BE"/>
              </w:rPr>
            </w:pPr>
          </w:p>
        </w:tc>
        <w:tc>
          <w:tcPr>
            <w:tcW w:w="4395" w:type="dxa"/>
          </w:tcPr>
          <w:p w:rsidR="00B06977" w:rsidRDefault="00B06977" w:rsidP="00E7773C">
            <w:pPr>
              <w:jc w:val="both"/>
              <w:rPr>
                <w:lang w:val="fr-BE"/>
              </w:rPr>
            </w:pPr>
            <w:r w:rsidRPr="00E10476">
              <w:rPr>
                <w:lang w:val="fr-BE"/>
              </w:rPr>
              <w:t>Cette disposition n’appelle pas  de commentaire particulier.</w:t>
            </w:r>
          </w:p>
          <w:p w:rsidR="004F2B3C" w:rsidRDefault="004F2B3C" w:rsidP="00E7773C">
            <w:pPr>
              <w:jc w:val="both"/>
              <w:rPr>
                <w:lang w:val="fr-BE"/>
              </w:rPr>
            </w:pPr>
          </w:p>
          <w:p w:rsidR="004F2B3C" w:rsidRDefault="004F2B3C" w:rsidP="00E7773C">
            <w:pPr>
              <w:jc w:val="both"/>
              <w:rPr>
                <w:lang w:val="fr-BE"/>
              </w:rPr>
            </w:pPr>
          </w:p>
          <w:p w:rsidR="004F2B3C" w:rsidRDefault="004F2B3C" w:rsidP="00E7773C">
            <w:pPr>
              <w:jc w:val="both"/>
              <w:rPr>
                <w:lang w:val="fr-BE"/>
              </w:rPr>
            </w:pPr>
            <w:r>
              <w:rPr>
                <w:lang w:val="fr-BE"/>
              </w:rPr>
              <w:t xml:space="preserve">Nous renvoyons le lecteur à la contribution de M. </w:t>
            </w:r>
            <w:proofErr w:type="spellStart"/>
            <w:r>
              <w:rPr>
                <w:lang w:val="fr-BE"/>
              </w:rPr>
              <w:t>Houbben</w:t>
            </w:r>
            <w:proofErr w:type="spellEnd"/>
            <w:r>
              <w:rPr>
                <w:lang w:val="fr-BE"/>
              </w:rPr>
              <w:t>, dans le présent ouvrage, sur les clauses potestatives.</w:t>
            </w:r>
          </w:p>
        </w:tc>
      </w:tr>
      <w:tr w:rsidR="00B06977" w:rsidRPr="00151932" w:rsidTr="00B06977">
        <w:tc>
          <w:tcPr>
            <w:tcW w:w="4248" w:type="dxa"/>
          </w:tcPr>
          <w:p w:rsidR="00B06977" w:rsidRDefault="00B06977" w:rsidP="00E7773C">
            <w:pPr>
              <w:jc w:val="both"/>
              <w:rPr>
                <w:lang w:val="fr-BE"/>
              </w:rPr>
            </w:pPr>
          </w:p>
        </w:tc>
        <w:tc>
          <w:tcPr>
            <w:tcW w:w="4252" w:type="dxa"/>
          </w:tcPr>
          <w:p w:rsidR="00B06977" w:rsidRDefault="00B06977" w:rsidP="002C10B0">
            <w:pPr>
              <w:jc w:val="both"/>
              <w:rPr>
                <w:lang w:val="fr-BE"/>
              </w:rPr>
            </w:pPr>
            <w:r>
              <w:rPr>
                <w:lang w:val="fr-BE"/>
              </w:rPr>
              <w:t>VI.91/5, 3°</w:t>
            </w:r>
            <w:r w:rsidR="00E05D52">
              <w:rPr>
                <w:lang w:val="fr-BE"/>
              </w:rPr>
              <w:t>, du CDE</w:t>
            </w:r>
            <w:r>
              <w:rPr>
                <w:lang w:val="fr-BE"/>
              </w:rPr>
              <w:t> : « </w:t>
            </w:r>
            <w:r w:rsidRPr="002C10B0">
              <w:rPr>
                <w:i/>
                <w:lang w:val="fr-BE"/>
              </w:rPr>
              <w:t xml:space="preserve">placer, sans contrepartie, le risque économique sur une partie alors que celui-ci incombe </w:t>
            </w:r>
            <w:r w:rsidRPr="002C10B0">
              <w:rPr>
                <w:i/>
                <w:lang w:val="fr-BE"/>
              </w:rPr>
              <w:lastRenderedPageBreak/>
              <w:t>normalement à l’autre entreprise ou à une autre partie au contrat</w:t>
            </w:r>
            <w:r>
              <w:rPr>
                <w:lang w:val="fr-BE"/>
              </w:rPr>
              <w:t> »</w:t>
            </w:r>
          </w:p>
          <w:p w:rsidR="00B06977" w:rsidRDefault="00B06977" w:rsidP="002C10B0">
            <w:pPr>
              <w:jc w:val="both"/>
              <w:rPr>
                <w:lang w:val="fr-BE"/>
              </w:rPr>
            </w:pPr>
          </w:p>
          <w:p w:rsidR="00B06977" w:rsidRDefault="00B06977" w:rsidP="002C10B0">
            <w:pPr>
              <w:jc w:val="both"/>
              <w:rPr>
                <w:lang w:val="fr-BE"/>
              </w:rPr>
            </w:pPr>
            <w:r>
              <w:rPr>
                <w:lang w:val="fr-BE"/>
              </w:rPr>
              <w:t xml:space="preserve">Clause figurant dans la </w:t>
            </w:r>
            <w:r w:rsidRPr="00E7773C">
              <w:rPr>
                <w:b/>
                <w:lang w:val="fr-BE"/>
              </w:rPr>
              <w:t>liste</w:t>
            </w:r>
            <w:r>
              <w:rPr>
                <w:b/>
                <w:lang w:val="fr-BE"/>
              </w:rPr>
              <w:t xml:space="preserve"> grise</w:t>
            </w:r>
            <w:r>
              <w:rPr>
                <w:lang w:val="fr-BE"/>
              </w:rPr>
              <w:t xml:space="preserve">, abusive sauf preuve contraire </w:t>
            </w:r>
          </w:p>
          <w:p w:rsidR="00B06977" w:rsidRDefault="00B06977" w:rsidP="00E7773C">
            <w:pPr>
              <w:jc w:val="both"/>
              <w:rPr>
                <w:lang w:val="fr-BE"/>
              </w:rPr>
            </w:pPr>
          </w:p>
        </w:tc>
        <w:tc>
          <w:tcPr>
            <w:tcW w:w="4395" w:type="dxa"/>
          </w:tcPr>
          <w:p w:rsidR="00B06977" w:rsidRDefault="00B06977" w:rsidP="00D4519F">
            <w:pPr>
              <w:jc w:val="both"/>
              <w:rPr>
                <w:lang w:val="fr-BE"/>
              </w:rPr>
            </w:pPr>
            <w:r w:rsidRPr="00D4519F">
              <w:rPr>
                <w:b/>
                <w:lang w:val="fr-BE"/>
              </w:rPr>
              <w:lastRenderedPageBreak/>
              <w:t>B2B</w:t>
            </w:r>
            <w:r>
              <w:rPr>
                <w:b/>
                <w:lang w:val="fr-BE"/>
              </w:rPr>
              <w:t xml:space="preserve"> </w:t>
            </w:r>
            <w:r>
              <w:rPr>
                <w:lang w:val="fr-BE"/>
              </w:rPr>
              <w:t xml:space="preserve">Le législateur entend condamner les clauses qui placent les risques commerciaux sur </w:t>
            </w:r>
            <w:r w:rsidR="00920F55">
              <w:rPr>
                <w:lang w:val="fr-BE"/>
              </w:rPr>
              <w:t>le cocontractant</w:t>
            </w:r>
            <w:r>
              <w:rPr>
                <w:lang w:val="fr-BE"/>
              </w:rPr>
              <w:t xml:space="preserve">  alors qu’ils incombent </w:t>
            </w:r>
            <w:r>
              <w:rPr>
                <w:lang w:val="fr-BE"/>
              </w:rPr>
              <w:lastRenderedPageBreak/>
              <w:t>normalement</w:t>
            </w:r>
            <w:r w:rsidR="00BD5D3B">
              <w:rPr>
                <w:rStyle w:val="Appelnotedebasdep"/>
                <w:lang w:val="fr-BE"/>
              </w:rPr>
              <w:footnoteReference w:id="90"/>
            </w:r>
            <w:r>
              <w:rPr>
                <w:lang w:val="fr-BE"/>
              </w:rPr>
              <w:t xml:space="preserve"> à l’entreprise qui fournit le bien ou le service.  Le caractère abusif doit être apprécié en tenant compte du secteur économique concerné (le secteur de la distribution n’est pas le même que celui de la construction). L’entreprise peut apporter la preuve contraire et établir que le renversement contractuel du risque économique est justifié (par exemple, parce que les parties en ont tenu compte dans la détermination du prix)</w:t>
            </w:r>
            <w:r w:rsidR="001A3324">
              <w:rPr>
                <w:rStyle w:val="Appelnotedebasdep"/>
                <w:lang w:val="fr-BE"/>
              </w:rPr>
              <w:footnoteReference w:id="91"/>
            </w:r>
            <w:r>
              <w:rPr>
                <w:lang w:val="fr-BE"/>
              </w:rPr>
              <w:t xml:space="preserve">. </w:t>
            </w:r>
          </w:p>
          <w:p w:rsidR="0011204C" w:rsidRDefault="00B06977" w:rsidP="001A3324">
            <w:pPr>
              <w:jc w:val="both"/>
              <w:rPr>
                <w:lang w:val="fr-BE"/>
              </w:rPr>
            </w:pPr>
            <w:r>
              <w:rPr>
                <w:lang w:val="fr-BE"/>
              </w:rPr>
              <w:t>On pourrait ainsi songer aux exemples suivants :</w:t>
            </w:r>
            <w:r w:rsidR="001A3324">
              <w:rPr>
                <w:lang w:val="fr-BE"/>
              </w:rPr>
              <w:t xml:space="preserve"> imposer à un fournisseur l’obligation de reprendre les biens que l’acquéreur ne parviendrait pas à revendre</w:t>
            </w:r>
            <w:r w:rsidR="001A3324">
              <w:rPr>
                <w:rStyle w:val="Appelnotedebasdep"/>
                <w:lang w:val="fr-BE"/>
              </w:rPr>
              <w:footnoteReference w:id="92"/>
            </w:r>
            <w:r w:rsidR="001A3324">
              <w:rPr>
                <w:lang w:val="fr-BE"/>
              </w:rPr>
              <w:t> ;   mettre à charge du vendeur</w:t>
            </w:r>
            <w:r>
              <w:rPr>
                <w:lang w:val="fr-BE"/>
              </w:rPr>
              <w:t xml:space="preserve"> les coûts résultant d’un vol postérieur à la délivrance du bien</w:t>
            </w:r>
            <w:r w:rsidR="001817E4">
              <w:rPr>
                <w:rStyle w:val="Appelnotedebasdep"/>
                <w:lang w:val="fr-BE"/>
              </w:rPr>
              <w:footnoteReference w:id="93"/>
            </w:r>
            <w:r w:rsidR="0011204C">
              <w:rPr>
                <w:lang w:val="fr-BE"/>
              </w:rPr>
              <w:t xml:space="preserve">. </w:t>
            </w:r>
          </w:p>
          <w:p w:rsidR="0011204C" w:rsidRDefault="0011204C" w:rsidP="001A3324">
            <w:pPr>
              <w:jc w:val="both"/>
              <w:rPr>
                <w:lang w:val="fr-BE"/>
              </w:rPr>
            </w:pPr>
          </w:p>
          <w:p w:rsidR="00B06977" w:rsidRDefault="001817E4" w:rsidP="00BD5D3B">
            <w:pPr>
              <w:jc w:val="both"/>
              <w:rPr>
                <w:lang w:val="fr-BE"/>
              </w:rPr>
            </w:pPr>
            <w:r>
              <w:rPr>
                <w:lang w:val="fr-BE"/>
              </w:rPr>
              <w:lastRenderedPageBreak/>
              <w:t xml:space="preserve">Selon R. </w:t>
            </w:r>
            <w:proofErr w:type="spellStart"/>
            <w:r>
              <w:rPr>
                <w:lang w:val="fr-BE"/>
              </w:rPr>
              <w:t>Jafferali</w:t>
            </w:r>
            <w:proofErr w:type="spellEnd"/>
            <w:r>
              <w:rPr>
                <w:lang w:val="fr-BE"/>
              </w:rPr>
              <w:t>, le terme « risque » suppose un élément d’incertitude, en l’absence duquel l’interdiction examinée ne trouverait pas à s’appliquer</w:t>
            </w:r>
            <w:r>
              <w:rPr>
                <w:rStyle w:val="Appelnotedebasdep"/>
                <w:lang w:val="fr-BE"/>
              </w:rPr>
              <w:footnoteReference w:id="94"/>
            </w:r>
            <w:r>
              <w:rPr>
                <w:lang w:val="fr-BE"/>
              </w:rPr>
              <w:t>. Ainsi, à suivre l’opinion de cet auteur, l’article VI.91/5, 3°, du CDE ne devrait pas être applicable à la clause qui vise à faire supporter par une partie les coûts de rénovation d’un bâtiment qui appartient au cocontractant</w:t>
            </w:r>
            <w:r w:rsidR="00BD5D3B">
              <w:rPr>
                <w:lang w:val="fr-BE"/>
              </w:rPr>
              <w:t>, ni à la stipulation qui prévoit un délai de paiement anormalement long</w:t>
            </w:r>
            <w:r>
              <w:rPr>
                <w:rStyle w:val="Appelnotedebasdep"/>
                <w:lang w:val="fr-BE"/>
              </w:rPr>
              <w:footnoteReference w:id="95"/>
            </w:r>
            <w:r>
              <w:rPr>
                <w:lang w:val="fr-BE"/>
              </w:rPr>
              <w:t xml:space="preserve">. </w:t>
            </w:r>
          </w:p>
          <w:p w:rsidR="001F767C" w:rsidRDefault="001F767C" w:rsidP="00BD5D3B">
            <w:pPr>
              <w:jc w:val="both"/>
              <w:rPr>
                <w:lang w:val="fr-BE"/>
              </w:rPr>
            </w:pPr>
          </w:p>
          <w:p w:rsidR="001F767C" w:rsidRDefault="001F767C" w:rsidP="00BD5D3B">
            <w:pPr>
              <w:jc w:val="both"/>
              <w:rPr>
                <w:lang w:val="fr-BE"/>
              </w:rPr>
            </w:pPr>
            <w:r>
              <w:rPr>
                <w:lang w:val="fr-BE"/>
              </w:rPr>
              <w:t xml:space="preserve">Nous renvoyons le lecteur à la contribution de C.-E. Lambert et de R. </w:t>
            </w:r>
            <w:proofErr w:type="spellStart"/>
            <w:r>
              <w:rPr>
                <w:lang w:val="fr-BE"/>
              </w:rPr>
              <w:t>Thüngen</w:t>
            </w:r>
            <w:proofErr w:type="spellEnd"/>
            <w:r>
              <w:rPr>
                <w:lang w:val="fr-BE"/>
              </w:rPr>
              <w:t>, dans le présent ouvrage, sur les clauses d’inexécution.</w:t>
            </w:r>
          </w:p>
        </w:tc>
      </w:tr>
    </w:tbl>
    <w:p w:rsidR="002F75A2" w:rsidRDefault="002F75A2" w:rsidP="00E7773C">
      <w:pPr>
        <w:jc w:val="both"/>
        <w:rPr>
          <w:lang w:val="fr-BE"/>
        </w:rPr>
      </w:pPr>
    </w:p>
    <w:p w:rsidR="00E908F7" w:rsidRPr="00E908F7" w:rsidRDefault="00E908F7" w:rsidP="00E7773C">
      <w:pPr>
        <w:jc w:val="both"/>
        <w:rPr>
          <w:lang w:val="fr-BE"/>
        </w:rPr>
      </w:pPr>
    </w:p>
    <w:sectPr w:rsidR="00E908F7" w:rsidRPr="00E908F7" w:rsidSect="00FC2F7C">
      <w:footerReference w:type="default" r:id="rId8"/>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36F75" w:rsidRDefault="00436F75" w:rsidP="00305189">
      <w:pPr>
        <w:spacing w:after="0" w:line="240" w:lineRule="auto"/>
      </w:pPr>
      <w:r>
        <w:separator/>
      </w:r>
    </w:p>
  </w:endnote>
  <w:endnote w:type="continuationSeparator" w:id="0">
    <w:p w:rsidR="00436F75" w:rsidRDefault="00436F75" w:rsidP="00305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2825603"/>
      <w:docPartObj>
        <w:docPartGallery w:val="Page Numbers (Bottom of Page)"/>
        <w:docPartUnique/>
      </w:docPartObj>
    </w:sdtPr>
    <w:sdtEndPr/>
    <w:sdtContent>
      <w:p w:rsidR="009D2186" w:rsidRDefault="009D2186">
        <w:pPr>
          <w:pStyle w:val="Pieddepage"/>
          <w:jc w:val="right"/>
        </w:pPr>
        <w:r>
          <w:fldChar w:fldCharType="begin"/>
        </w:r>
        <w:r>
          <w:instrText>PAGE   \* MERGEFORMAT</w:instrText>
        </w:r>
        <w:r>
          <w:fldChar w:fldCharType="separate"/>
        </w:r>
        <w:r w:rsidRPr="005A6D58">
          <w:rPr>
            <w:noProof/>
            <w:lang w:val="fr-FR"/>
          </w:rPr>
          <w:t>27</w:t>
        </w:r>
        <w:r>
          <w:fldChar w:fldCharType="end"/>
        </w:r>
      </w:p>
    </w:sdtContent>
  </w:sdt>
  <w:p w:rsidR="009D2186" w:rsidRDefault="009D21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36F75" w:rsidRDefault="00436F75" w:rsidP="00305189">
      <w:pPr>
        <w:spacing w:after="0" w:line="240" w:lineRule="auto"/>
      </w:pPr>
      <w:r>
        <w:separator/>
      </w:r>
    </w:p>
  </w:footnote>
  <w:footnote w:type="continuationSeparator" w:id="0">
    <w:p w:rsidR="00436F75" w:rsidRDefault="00436F75" w:rsidP="00305189">
      <w:pPr>
        <w:spacing w:after="0" w:line="240" w:lineRule="auto"/>
      </w:pPr>
      <w:r>
        <w:continuationSeparator/>
      </w:r>
    </w:p>
  </w:footnote>
  <w:footnote w:id="1">
    <w:p w:rsidR="009D2186" w:rsidRPr="00AC00FA" w:rsidRDefault="009D2186" w:rsidP="00556A0D">
      <w:pPr>
        <w:pStyle w:val="Notedebasdepage"/>
        <w:jc w:val="both"/>
        <w:rPr>
          <w:lang w:val="fr-BE"/>
        </w:rPr>
      </w:pPr>
      <w:r>
        <w:rPr>
          <w:rStyle w:val="Appelnotedebasdep"/>
        </w:rPr>
        <w:footnoteRef/>
      </w:r>
      <w:r w:rsidRPr="00AC00FA">
        <w:rPr>
          <w:lang w:val="fr-BE"/>
        </w:rPr>
        <w:t xml:space="preserve"> </w:t>
      </w:r>
      <w:r>
        <w:rPr>
          <w:lang w:val="fr-BE"/>
        </w:rPr>
        <w:t xml:space="preserve">Le présent tableau vise à donner un aperçu (ainsi qu’un commentaire sommaire) des listes – noires et grise – des clauses abusives, tant dans le cadre des relations B2C (entre une entreprise et un consommateur) que B2B (entre entreprises). </w:t>
      </w:r>
    </w:p>
  </w:footnote>
  <w:footnote w:id="2">
    <w:p w:rsidR="009D2186" w:rsidRPr="00710425" w:rsidRDefault="009D2186">
      <w:pPr>
        <w:pStyle w:val="Notedebasdepage"/>
        <w:rPr>
          <w:lang w:val="fr-BE"/>
        </w:rPr>
      </w:pPr>
      <w:r>
        <w:rPr>
          <w:rStyle w:val="Appelnotedebasdep"/>
        </w:rPr>
        <w:footnoteRef/>
      </w:r>
      <w:r w:rsidRPr="008E3FF1">
        <w:rPr>
          <w:lang w:val="fr-BE"/>
        </w:rPr>
        <w:t xml:space="preserve"> </w:t>
      </w:r>
      <w:r>
        <w:rPr>
          <w:lang w:val="fr-BE"/>
        </w:rPr>
        <w:t xml:space="preserve">L’auteur remercie chaleureusement Maitre Pierre-Yves </w:t>
      </w:r>
      <w:proofErr w:type="spellStart"/>
      <w:r>
        <w:rPr>
          <w:lang w:val="fr-BE"/>
        </w:rPr>
        <w:t>Erneux</w:t>
      </w:r>
      <w:proofErr w:type="spellEnd"/>
      <w:r>
        <w:rPr>
          <w:lang w:val="fr-BE"/>
        </w:rPr>
        <w:t xml:space="preserve"> pour sa relecture attentive et ses précieux conseils.  </w:t>
      </w:r>
    </w:p>
  </w:footnote>
  <w:footnote w:id="3">
    <w:p w:rsidR="009D2186" w:rsidRPr="00525BB2" w:rsidRDefault="009D2186" w:rsidP="00525BB2">
      <w:pPr>
        <w:pStyle w:val="Notedebasdepage"/>
        <w:jc w:val="both"/>
        <w:rPr>
          <w:lang w:val="fr-BE"/>
        </w:rPr>
      </w:pPr>
      <w:r>
        <w:rPr>
          <w:rStyle w:val="Appelnotedebasdep"/>
        </w:rPr>
        <w:footnoteRef/>
      </w:r>
      <w:r w:rsidRPr="00525BB2">
        <w:rPr>
          <w:lang w:val="nl-BE"/>
        </w:rPr>
        <w:t xml:space="preserve"> </w:t>
      </w:r>
      <w:r w:rsidRPr="00B56295">
        <w:rPr>
          <w:smallCaps/>
          <w:lang w:val="nl-BE"/>
        </w:rPr>
        <w:t>R. Steennot</w:t>
      </w:r>
      <w:r w:rsidRPr="00B56295">
        <w:rPr>
          <w:lang w:val="nl-BE"/>
        </w:rPr>
        <w:t xml:space="preserve">, « Commentaar bij art. </w:t>
      </w:r>
      <w:r>
        <w:rPr>
          <w:lang w:val="nl-BE"/>
        </w:rPr>
        <w:t>VI.91/4</w:t>
      </w:r>
      <w:r w:rsidRPr="00506143">
        <w:rPr>
          <w:lang w:val="nl-BE"/>
        </w:rPr>
        <w:t> </w:t>
      </w:r>
      <w:r>
        <w:rPr>
          <w:lang w:val="nl-BE"/>
        </w:rPr>
        <w:t xml:space="preserve">WER </w:t>
      </w:r>
      <w:r w:rsidRPr="00506143">
        <w:rPr>
          <w:lang w:val="nl-BE"/>
        </w:rPr>
        <w:t xml:space="preserve">», </w:t>
      </w:r>
      <w:r w:rsidRPr="00506143">
        <w:rPr>
          <w:i/>
          <w:lang w:val="nl-BE"/>
        </w:rPr>
        <w:t xml:space="preserve">Handels- en economisch recht. </w:t>
      </w:r>
      <w:r w:rsidRPr="008A424A">
        <w:rPr>
          <w:i/>
          <w:lang w:val="nl-BE"/>
        </w:rPr>
        <w:t>Commentaar met overzicht van rechtspraak en rechtsleer</w:t>
      </w:r>
      <w:r>
        <w:rPr>
          <w:i/>
          <w:lang w:val="nl-BE"/>
        </w:rPr>
        <w:t xml:space="preserve"> </w:t>
      </w:r>
      <w:r>
        <w:rPr>
          <w:iCs/>
          <w:lang w:val="nl-BE"/>
        </w:rPr>
        <w:t>(ci-après :</w:t>
      </w:r>
      <w:r>
        <w:rPr>
          <w:i/>
          <w:lang w:val="nl-BE"/>
        </w:rPr>
        <w:t xml:space="preserve"> O.H.R.A.</w:t>
      </w:r>
      <w:r>
        <w:rPr>
          <w:iCs/>
          <w:lang w:val="nl-BE"/>
        </w:rPr>
        <w:t>)</w:t>
      </w:r>
      <w:r w:rsidRPr="008A424A">
        <w:rPr>
          <w:lang w:val="nl-BE"/>
        </w:rPr>
        <w:t>, f.mob., Mechelen, Kluwer, 201</w:t>
      </w:r>
      <w:r>
        <w:rPr>
          <w:lang w:val="nl-BE"/>
        </w:rPr>
        <w:t>9</w:t>
      </w:r>
      <w:r w:rsidRPr="008A424A">
        <w:rPr>
          <w:lang w:val="nl-BE"/>
        </w:rPr>
        <w:t>, p. 3,</w:t>
      </w:r>
      <w:r>
        <w:rPr>
          <w:lang w:val="nl-BE"/>
        </w:rPr>
        <w:t xml:space="preserve"> n° 4 ; </w:t>
      </w:r>
      <w:r w:rsidRPr="00B56295">
        <w:rPr>
          <w:smallCaps/>
          <w:lang w:val="nl-BE"/>
        </w:rPr>
        <w:t>R. Steennot</w:t>
      </w:r>
      <w:r w:rsidRPr="00B56295">
        <w:rPr>
          <w:lang w:val="nl-BE"/>
        </w:rPr>
        <w:t xml:space="preserve">, « Commentaar bij art. </w:t>
      </w:r>
      <w:r w:rsidRPr="008A424A">
        <w:rPr>
          <w:lang w:val="fr-BE"/>
        </w:rPr>
        <w:t xml:space="preserve">VI.83, 1° WER », </w:t>
      </w:r>
      <w:r w:rsidRPr="008A424A">
        <w:rPr>
          <w:i/>
          <w:lang w:val="fr-BE"/>
        </w:rPr>
        <w:t>O.H.R.A.</w:t>
      </w:r>
      <w:r w:rsidRPr="00525BB2">
        <w:rPr>
          <w:lang w:val="fr-BE"/>
        </w:rPr>
        <w:t xml:space="preserve">, Mechelen, Kluwer, 2017, p. 3, n° 1 ; </w:t>
      </w:r>
      <w:r w:rsidRPr="00030B91">
        <w:rPr>
          <w:smallCaps/>
          <w:lang w:val="fr-BE"/>
        </w:rPr>
        <w:t xml:space="preserve">P.-Y. </w:t>
      </w:r>
      <w:proofErr w:type="spellStart"/>
      <w:r w:rsidRPr="00030B91">
        <w:rPr>
          <w:smallCaps/>
          <w:lang w:val="fr-BE"/>
        </w:rPr>
        <w:t>Erneux</w:t>
      </w:r>
      <w:proofErr w:type="spellEnd"/>
      <w:r>
        <w:rPr>
          <w:lang w:val="fr-BE"/>
        </w:rPr>
        <w:t xml:space="preserve">, « La protection des consommateurs dans les ventes immobilières : questions d’actualité », </w:t>
      </w:r>
      <w:r>
        <w:rPr>
          <w:i/>
          <w:lang w:val="fr-BE"/>
        </w:rPr>
        <w:t>La vente immobilière. Aspects civils, administratifs et fiscaux</w:t>
      </w:r>
      <w:r>
        <w:rPr>
          <w:lang w:val="fr-BE"/>
        </w:rPr>
        <w:t>, B. Kohl (</w:t>
      </w:r>
      <w:proofErr w:type="spellStart"/>
      <w:r>
        <w:rPr>
          <w:lang w:val="fr-BE"/>
        </w:rPr>
        <w:t>dir</w:t>
      </w:r>
      <w:proofErr w:type="spellEnd"/>
      <w:r>
        <w:rPr>
          <w:lang w:val="fr-BE"/>
        </w:rPr>
        <w:t xml:space="preserve">.), coll. CUP, vol. 121, </w:t>
      </w:r>
      <w:proofErr w:type="spellStart"/>
      <w:r>
        <w:rPr>
          <w:lang w:val="fr-BE"/>
        </w:rPr>
        <w:t>Limal</w:t>
      </w:r>
      <w:proofErr w:type="spellEnd"/>
      <w:r>
        <w:rPr>
          <w:lang w:val="fr-BE"/>
        </w:rPr>
        <w:t xml:space="preserve">, </w:t>
      </w:r>
      <w:proofErr w:type="spellStart"/>
      <w:r>
        <w:rPr>
          <w:lang w:val="fr-BE"/>
        </w:rPr>
        <w:t>Anthemis</w:t>
      </w:r>
      <w:proofErr w:type="spellEnd"/>
      <w:r>
        <w:rPr>
          <w:lang w:val="fr-BE"/>
        </w:rPr>
        <w:t>, 2010, p. 308, n° 59.</w:t>
      </w:r>
    </w:p>
  </w:footnote>
  <w:footnote w:id="4">
    <w:p w:rsidR="009D2186" w:rsidRPr="00030B91" w:rsidRDefault="009D2186" w:rsidP="00AC00FA">
      <w:pPr>
        <w:pStyle w:val="Notedebasdepage"/>
        <w:jc w:val="both"/>
        <w:rPr>
          <w:lang w:val="fr-BE"/>
        </w:rPr>
      </w:pPr>
      <w:r>
        <w:rPr>
          <w:rStyle w:val="Appelnotedebasdep"/>
        </w:rPr>
        <w:footnoteRef/>
      </w:r>
      <w:r w:rsidRPr="00030B91">
        <w:rPr>
          <w:lang w:val="fr-BE"/>
        </w:rPr>
        <w:t xml:space="preserve"> </w:t>
      </w:r>
      <w:r>
        <w:rPr>
          <w:lang w:val="fr-BE"/>
        </w:rPr>
        <w:t xml:space="preserve">Il ne s’agit pas d’une réelle condition suspensive dans la mesure où elle porte sur un élément essentiel de la formation du contrat, à savoir le consentement (méconnaissance du caractère adventice de la condition). </w:t>
      </w:r>
    </w:p>
  </w:footnote>
  <w:footnote w:id="5">
    <w:p w:rsidR="009D2186" w:rsidRPr="00FA4668" w:rsidRDefault="009D2186" w:rsidP="00AC00FA">
      <w:pPr>
        <w:pStyle w:val="Notedebasdepage"/>
        <w:jc w:val="both"/>
        <w:rPr>
          <w:lang w:val="fr-BE"/>
        </w:rPr>
      </w:pPr>
      <w:r>
        <w:rPr>
          <w:rStyle w:val="Appelnotedebasdep"/>
        </w:rPr>
        <w:footnoteRef/>
      </w:r>
      <w:r w:rsidRPr="00305189">
        <w:rPr>
          <w:lang w:val="fr-BE"/>
        </w:rPr>
        <w:t xml:space="preserve"> </w:t>
      </w:r>
      <w:proofErr w:type="spellStart"/>
      <w:r>
        <w:rPr>
          <w:lang w:val="fr-BE"/>
        </w:rPr>
        <w:t>Voy</w:t>
      </w:r>
      <w:proofErr w:type="spellEnd"/>
      <w:r>
        <w:rPr>
          <w:lang w:val="fr-BE"/>
        </w:rPr>
        <w:t xml:space="preserve">. et </w:t>
      </w:r>
      <w:proofErr w:type="spellStart"/>
      <w:r>
        <w:rPr>
          <w:lang w:val="fr-BE"/>
        </w:rPr>
        <w:t>comp</w:t>
      </w:r>
      <w:proofErr w:type="spellEnd"/>
      <w:r>
        <w:rPr>
          <w:lang w:val="fr-BE"/>
        </w:rPr>
        <w:t xml:space="preserve">. </w:t>
      </w:r>
      <w:r w:rsidRPr="00305189">
        <w:rPr>
          <w:lang w:val="fr-BE"/>
        </w:rPr>
        <w:t xml:space="preserve">P. </w:t>
      </w:r>
      <w:r w:rsidRPr="00305189">
        <w:rPr>
          <w:smallCaps/>
          <w:lang w:val="fr-BE"/>
        </w:rPr>
        <w:t xml:space="preserve">Van </w:t>
      </w:r>
      <w:proofErr w:type="spellStart"/>
      <w:r w:rsidRPr="00305189">
        <w:rPr>
          <w:smallCaps/>
          <w:lang w:val="fr-BE"/>
        </w:rPr>
        <w:t>Ommeslaghe</w:t>
      </w:r>
      <w:proofErr w:type="spellEnd"/>
      <w:r w:rsidRPr="00305189">
        <w:rPr>
          <w:lang w:val="fr-BE"/>
        </w:rPr>
        <w:t>,</w:t>
      </w:r>
      <w:r w:rsidRPr="00305189">
        <w:rPr>
          <w:i/>
          <w:lang w:val="fr-BE"/>
        </w:rPr>
        <w:t xml:space="preserve"> Traité de droit civil belge</w:t>
      </w:r>
      <w:r w:rsidRPr="00305189">
        <w:rPr>
          <w:lang w:val="fr-BE"/>
        </w:rPr>
        <w:t xml:space="preserve">, t. II, </w:t>
      </w:r>
      <w:r w:rsidRPr="00305189">
        <w:rPr>
          <w:i/>
          <w:lang w:val="fr-BE"/>
        </w:rPr>
        <w:t>Les obligations</w:t>
      </w:r>
      <w:r w:rsidRPr="00305189">
        <w:rPr>
          <w:lang w:val="fr-BE"/>
        </w:rPr>
        <w:t xml:space="preserve">, vol. 1, coll. « De Page », Bruxelles, </w:t>
      </w:r>
      <w:proofErr w:type="spellStart"/>
      <w:r w:rsidRPr="00305189">
        <w:rPr>
          <w:lang w:val="fr-BE"/>
        </w:rPr>
        <w:t>Bruylant</w:t>
      </w:r>
      <w:proofErr w:type="spellEnd"/>
      <w:r w:rsidRPr="00305189">
        <w:rPr>
          <w:lang w:val="fr-BE"/>
        </w:rPr>
        <w:t xml:space="preserve">, 2013, p. 392, n° 368 : </w:t>
      </w:r>
      <w:r>
        <w:rPr>
          <w:lang w:val="fr-BE"/>
        </w:rPr>
        <w:t>« </w:t>
      </w:r>
      <w:r w:rsidRPr="00305189">
        <w:rPr>
          <w:i/>
          <w:lang w:val="fr-BE"/>
        </w:rPr>
        <w:t>le législateur […] a en réalité condamné le promesse de contrat émanant du consommateur </w:t>
      </w:r>
      <w:r>
        <w:rPr>
          <w:lang w:val="fr-BE"/>
        </w:rPr>
        <w:t xml:space="preserve">» </w:t>
      </w:r>
      <w:r w:rsidRPr="00305189">
        <w:rPr>
          <w:lang w:val="fr-BE"/>
        </w:rPr>
        <w:t xml:space="preserve">(l’auteur s’interroge toutefois sur la justification de cette disposition, laquelle est susceptible de </w:t>
      </w:r>
      <w:r>
        <w:rPr>
          <w:lang w:val="fr-BE"/>
        </w:rPr>
        <w:t xml:space="preserve">rendre impossibles des opérations dont le caractère nuisible est loin d’être établi) ; </w:t>
      </w:r>
      <w:r w:rsidRPr="00305189">
        <w:rPr>
          <w:smallCaps/>
          <w:lang w:val="fr-BE"/>
        </w:rPr>
        <w:t xml:space="preserve">J. </w:t>
      </w:r>
      <w:proofErr w:type="spellStart"/>
      <w:r w:rsidRPr="00305189">
        <w:rPr>
          <w:smallCaps/>
          <w:lang w:val="fr-BE"/>
        </w:rPr>
        <w:t>Bael</w:t>
      </w:r>
      <w:proofErr w:type="spellEnd"/>
      <w:r>
        <w:rPr>
          <w:lang w:val="fr-BE"/>
        </w:rPr>
        <w:t>, « </w:t>
      </w:r>
      <w:r w:rsidRPr="00305189">
        <w:rPr>
          <w:lang w:val="fr-BE"/>
        </w:rPr>
        <w:t xml:space="preserve">De impact van de </w:t>
      </w:r>
      <w:proofErr w:type="spellStart"/>
      <w:r w:rsidRPr="00305189">
        <w:rPr>
          <w:lang w:val="fr-BE"/>
        </w:rPr>
        <w:t>wetgeving</w:t>
      </w:r>
      <w:proofErr w:type="spellEnd"/>
      <w:r w:rsidRPr="00305189">
        <w:rPr>
          <w:lang w:val="fr-BE"/>
        </w:rPr>
        <w:t xml:space="preserve"> </w:t>
      </w:r>
      <w:proofErr w:type="spellStart"/>
      <w:r w:rsidRPr="00305189">
        <w:rPr>
          <w:lang w:val="fr-BE"/>
        </w:rPr>
        <w:t>inzake</w:t>
      </w:r>
      <w:proofErr w:type="spellEnd"/>
      <w:r w:rsidRPr="00305189">
        <w:rPr>
          <w:lang w:val="fr-BE"/>
        </w:rPr>
        <w:t xml:space="preserve"> </w:t>
      </w:r>
      <w:proofErr w:type="spellStart"/>
      <w:r w:rsidRPr="00305189">
        <w:rPr>
          <w:lang w:val="fr-BE"/>
        </w:rPr>
        <w:t>marktpraktijken</w:t>
      </w:r>
      <w:proofErr w:type="spellEnd"/>
      <w:r w:rsidRPr="00305189">
        <w:rPr>
          <w:lang w:val="fr-BE"/>
        </w:rPr>
        <w:t xml:space="preserve"> en </w:t>
      </w:r>
      <w:proofErr w:type="spellStart"/>
      <w:r w:rsidRPr="00305189">
        <w:rPr>
          <w:lang w:val="fr-BE"/>
        </w:rPr>
        <w:t>bescherming</w:t>
      </w:r>
      <w:proofErr w:type="spellEnd"/>
      <w:r w:rsidRPr="00305189">
        <w:rPr>
          <w:lang w:val="fr-BE"/>
        </w:rPr>
        <w:t xml:space="preserve"> van de consument op de </w:t>
      </w:r>
      <w:proofErr w:type="spellStart"/>
      <w:r w:rsidRPr="00305189">
        <w:rPr>
          <w:lang w:val="fr-BE"/>
        </w:rPr>
        <w:t>verkoop</w:t>
      </w:r>
      <w:proofErr w:type="spellEnd"/>
      <w:r w:rsidRPr="00305189">
        <w:rPr>
          <w:lang w:val="fr-BE"/>
        </w:rPr>
        <w:t xml:space="preserve"> van </w:t>
      </w:r>
      <w:proofErr w:type="spellStart"/>
      <w:r w:rsidRPr="00305189">
        <w:rPr>
          <w:lang w:val="fr-BE"/>
        </w:rPr>
        <w:t>onroerende</w:t>
      </w:r>
      <w:proofErr w:type="spellEnd"/>
      <w:r w:rsidRPr="00305189">
        <w:rPr>
          <w:lang w:val="fr-BE"/>
        </w:rPr>
        <w:t xml:space="preserve"> </w:t>
      </w:r>
      <w:proofErr w:type="spellStart"/>
      <w:r w:rsidRPr="00305189">
        <w:rPr>
          <w:lang w:val="fr-BE"/>
        </w:rPr>
        <w:t>goederen</w:t>
      </w:r>
      <w:proofErr w:type="spellEnd"/>
      <w:r w:rsidRPr="00305189">
        <w:rPr>
          <w:lang w:val="fr-BE"/>
        </w:rPr>
        <w:t xml:space="preserve">: het </w:t>
      </w:r>
      <w:proofErr w:type="spellStart"/>
      <w:r w:rsidRPr="00305189">
        <w:rPr>
          <w:lang w:val="fr-BE"/>
        </w:rPr>
        <w:t>nieuwe</w:t>
      </w:r>
      <w:proofErr w:type="spellEnd"/>
      <w:r w:rsidRPr="00305189">
        <w:rPr>
          <w:lang w:val="fr-BE"/>
        </w:rPr>
        <w:t xml:space="preserve"> </w:t>
      </w:r>
      <w:proofErr w:type="spellStart"/>
      <w:r w:rsidRPr="00305189">
        <w:rPr>
          <w:lang w:val="fr-BE"/>
        </w:rPr>
        <w:t>boek</w:t>
      </w:r>
      <w:proofErr w:type="spellEnd"/>
      <w:r w:rsidRPr="00305189">
        <w:rPr>
          <w:lang w:val="fr-BE"/>
        </w:rPr>
        <w:t xml:space="preserve"> VI van het </w:t>
      </w:r>
      <w:proofErr w:type="spellStart"/>
      <w:r w:rsidRPr="00305189">
        <w:rPr>
          <w:lang w:val="fr-BE"/>
        </w:rPr>
        <w:t>Wetboek</w:t>
      </w:r>
      <w:proofErr w:type="spellEnd"/>
      <w:r w:rsidRPr="00305189">
        <w:rPr>
          <w:lang w:val="fr-BE"/>
        </w:rPr>
        <w:t xml:space="preserve"> van </w:t>
      </w:r>
      <w:proofErr w:type="spellStart"/>
      <w:r w:rsidRPr="00305189">
        <w:rPr>
          <w:lang w:val="fr-BE"/>
        </w:rPr>
        <w:t>economisch</w:t>
      </w:r>
      <w:proofErr w:type="spellEnd"/>
      <w:r w:rsidRPr="00305189">
        <w:rPr>
          <w:lang w:val="fr-BE"/>
        </w:rPr>
        <w:t xml:space="preserve"> </w:t>
      </w:r>
      <w:proofErr w:type="spellStart"/>
      <w:r w:rsidRPr="00305189">
        <w:rPr>
          <w:lang w:val="fr-BE"/>
        </w:rPr>
        <w:t>recht</w:t>
      </w:r>
      <w:proofErr w:type="spellEnd"/>
      <w:r>
        <w:rPr>
          <w:lang w:val="fr-BE"/>
        </w:rPr>
        <w:t xml:space="preserve"> », </w:t>
      </w:r>
      <w:proofErr w:type="spellStart"/>
      <w:r>
        <w:rPr>
          <w:i/>
          <w:lang w:val="fr-BE"/>
        </w:rPr>
        <w:t>Rechtskroniek</w:t>
      </w:r>
      <w:proofErr w:type="spellEnd"/>
      <w:r>
        <w:rPr>
          <w:i/>
          <w:lang w:val="fr-BE"/>
        </w:rPr>
        <w:t xml:space="preserve"> </w:t>
      </w:r>
      <w:proofErr w:type="spellStart"/>
      <w:r>
        <w:rPr>
          <w:i/>
          <w:lang w:val="fr-BE"/>
        </w:rPr>
        <w:t>voor</w:t>
      </w:r>
      <w:proofErr w:type="spellEnd"/>
      <w:r>
        <w:rPr>
          <w:i/>
          <w:lang w:val="fr-BE"/>
        </w:rPr>
        <w:t xml:space="preserve"> het </w:t>
      </w:r>
      <w:proofErr w:type="spellStart"/>
      <w:r>
        <w:rPr>
          <w:i/>
          <w:lang w:val="fr-BE"/>
        </w:rPr>
        <w:t>Notariaat</w:t>
      </w:r>
      <w:proofErr w:type="spellEnd"/>
      <w:r>
        <w:rPr>
          <w:i/>
          <w:lang w:val="fr-BE"/>
        </w:rPr>
        <w:t xml:space="preserve">,  </w:t>
      </w:r>
      <w:proofErr w:type="spellStart"/>
      <w:r>
        <w:rPr>
          <w:lang w:val="fr-BE"/>
        </w:rPr>
        <w:t>Deel</w:t>
      </w:r>
      <w:proofErr w:type="spellEnd"/>
      <w:r>
        <w:rPr>
          <w:lang w:val="fr-BE"/>
        </w:rPr>
        <w:t xml:space="preserve"> 25, J. </w:t>
      </w:r>
      <w:proofErr w:type="spellStart"/>
      <w:r>
        <w:rPr>
          <w:lang w:val="fr-BE"/>
        </w:rPr>
        <w:t>Bael</w:t>
      </w:r>
      <w:proofErr w:type="spellEnd"/>
      <w:r>
        <w:rPr>
          <w:lang w:val="fr-BE"/>
        </w:rPr>
        <w:t xml:space="preserve"> (</w:t>
      </w:r>
      <w:proofErr w:type="spellStart"/>
      <w:r>
        <w:rPr>
          <w:lang w:val="fr-BE"/>
        </w:rPr>
        <w:t>dir</w:t>
      </w:r>
      <w:proofErr w:type="spellEnd"/>
      <w:r>
        <w:rPr>
          <w:lang w:val="fr-BE"/>
        </w:rPr>
        <w:t xml:space="preserve">.), Brugge, Die </w:t>
      </w:r>
      <w:proofErr w:type="spellStart"/>
      <w:r>
        <w:rPr>
          <w:lang w:val="fr-BE"/>
        </w:rPr>
        <w:t>Keure</w:t>
      </w:r>
      <w:proofErr w:type="spellEnd"/>
      <w:r>
        <w:rPr>
          <w:lang w:val="fr-BE"/>
        </w:rPr>
        <w:t>, 2014, pp. 162-163, n° 52. C</w:t>
      </w:r>
      <w:r>
        <w:rPr>
          <w:i/>
          <w:lang w:val="fr-BE"/>
        </w:rPr>
        <w:t>ontra</w:t>
      </w:r>
      <w:r>
        <w:rPr>
          <w:lang w:val="fr-BE"/>
        </w:rPr>
        <w:t xml:space="preserve"> (ces auteurs estiment que les contrats unilatéraux, dont la promesse, ne sont pas visés par la disposition) :  </w:t>
      </w:r>
      <w:r w:rsidRPr="00030B91">
        <w:rPr>
          <w:smallCaps/>
          <w:lang w:val="fr-BE"/>
        </w:rPr>
        <w:t xml:space="preserve">P.-Y. </w:t>
      </w:r>
      <w:proofErr w:type="spellStart"/>
      <w:r w:rsidRPr="00030B91">
        <w:rPr>
          <w:smallCaps/>
          <w:lang w:val="fr-BE"/>
        </w:rPr>
        <w:t>Erneux</w:t>
      </w:r>
      <w:proofErr w:type="spellEnd"/>
      <w:r>
        <w:rPr>
          <w:smallCaps/>
          <w:lang w:val="fr-BE"/>
        </w:rPr>
        <w:t>,</w:t>
      </w:r>
      <w:r w:rsidRPr="00556A0D">
        <w:rPr>
          <w:i/>
          <w:lang w:val="fr-BE"/>
        </w:rPr>
        <w:t xml:space="preserve"> </w:t>
      </w:r>
      <w:r w:rsidRPr="00B23550">
        <w:rPr>
          <w:i/>
          <w:lang w:val="fr-BE"/>
        </w:rPr>
        <w:t xml:space="preserve">op. </w:t>
      </w:r>
      <w:proofErr w:type="spellStart"/>
      <w:r w:rsidRPr="00B23550">
        <w:rPr>
          <w:i/>
          <w:lang w:val="fr-BE"/>
        </w:rPr>
        <w:t>cit</w:t>
      </w:r>
      <w:proofErr w:type="spellEnd"/>
      <w:r>
        <w:rPr>
          <w:lang w:val="fr-BE"/>
        </w:rPr>
        <w:t xml:space="preserve">., </w:t>
      </w:r>
      <w:r w:rsidRPr="0079510A">
        <w:rPr>
          <w:i/>
          <w:iCs/>
          <w:lang w:val="fr-BE"/>
        </w:rPr>
        <w:t xml:space="preserve">La vente immobilière.  </w:t>
      </w:r>
      <w:r w:rsidRPr="000633FF">
        <w:rPr>
          <w:i/>
          <w:iCs/>
          <w:lang w:val="fr-BE"/>
        </w:rPr>
        <w:t>Aspects civils, administratifs et fiscaux</w:t>
      </w:r>
      <w:r w:rsidRPr="000633FF">
        <w:rPr>
          <w:lang w:val="fr-BE"/>
        </w:rPr>
        <w:t>, 2010,</w:t>
      </w:r>
      <w:r>
        <w:rPr>
          <w:lang w:val="fr-BE"/>
        </w:rPr>
        <w:t xml:space="preserve"> p. 308, n° 58 ; B. </w:t>
      </w:r>
      <w:r w:rsidRPr="0002062E">
        <w:rPr>
          <w:smallCaps/>
          <w:lang w:val="fr-BE"/>
        </w:rPr>
        <w:t>Kohl</w:t>
      </w:r>
      <w:r>
        <w:rPr>
          <w:lang w:val="fr-BE"/>
        </w:rPr>
        <w:t xml:space="preserve"> et A. </w:t>
      </w:r>
      <w:proofErr w:type="spellStart"/>
      <w:r w:rsidRPr="0002062E">
        <w:rPr>
          <w:smallCaps/>
          <w:lang w:val="fr-BE"/>
        </w:rPr>
        <w:t>Rigolet</w:t>
      </w:r>
      <w:proofErr w:type="spellEnd"/>
      <w:r>
        <w:rPr>
          <w:lang w:val="fr-BE"/>
        </w:rPr>
        <w:t xml:space="preserve">, « L’achat ou la vente d’un immeuble par un acheteur professionnel, particularités et contraintes », </w:t>
      </w:r>
      <w:r w:rsidRPr="0002062E">
        <w:rPr>
          <w:i/>
          <w:lang w:val="fr-BE"/>
        </w:rPr>
        <w:t>Le notaire garant de la sécurité juridique. Examen de clauses</w:t>
      </w:r>
      <w:r>
        <w:rPr>
          <w:lang w:val="fr-BE"/>
        </w:rPr>
        <w:t>, Bruxelles, </w:t>
      </w:r>
      <w:proofErr w:type="spellStart"/>
      <w:r>
        <w:rPr>
          <w:lang w:val="fr-BE"/>
        </w:rPr>
        <w:t>Larcier</w:t>
      </w:r>
      <w:proofErr w:type="spellEnd"/>
      <w:r>
        <w:rPr>
          <w:lang w:val="fr-BE"/>
        </w:rPr>
        <w:t>, 2016, pp. 178-179, n° 55.</w:t>
      </w:r>
    </w:p>
  </w:footnote>
  <w:footnote w:id="6">
    <w:p w:rsidR="009D2186" w:rsidRPr="00525BB2" w:rsidRDefault="009D2186">
      <w:pPr>
        <w:pStyle w:val="Notedebasdepage"/>
        <w:rPr>
          <w:lang w:val="fr-BE"/>
        </w:rPr>
      </w:pPr>
      <w:r>
        <w:rPr>
          <w:rStyle w:val="Appelnotedebasdep"/>
        </w:rPr>
        <w:footnoteRef/>
      </w:r>
      <w:r w:rsidRPr="00525BB2">
        <w:rPr>
          <w:lang w:val="fr-BE"/>
        </w:rPr>
        <w:t xml:space="preserve"> </w:t>
      </w:r>
      <w:proofErr w:type="spellStart"/>
      <w:r>
        <w:rPr>
          <w:lang w:val="fr-BE"/>
        </w:rPr>
        <w:t>Voy</w:t>
      </w:r>
      <w:proofErr w:type="spellEnd"/>
      <w:r>
        <w:rPr>
          <w:lang w:val="fr-BE"/>
        </w:rPr>
        <w:t xml:space="preserve">. </w:t>
      </w:r>
      <w:r w:rsidRPr="00525BB2">
        <w:rPr>
          <w:smallCaps/>
          <w:lang w:val="fr-BE"/>
        </w:rPr>
        <w:t xml:space="preserve">R. </w:t>
      </w:r>
      <w:proofErr w:type="spellStart"/>
      <w:r w:rsidRPr="00525BB2">
        <w:rPr>
          <w:smallCaps/>
          <w:lang w:val="fr-BE"/>
        </w:rPr>
        <w:t>Jafferali</w:t>
      </w:r>
      <w:proofErr w:type="spellEnd"/>
      <w:r>
        <w:rPr>
          <w:lang w:val="fr-BE"/>
        </w:rPr>
        <w:t xml:space="preserve">, « Les clauses abusives dans les contrats B2B après la loi du 4 avril 2019 ou le règne de l’incertitude », </w:t>
      </w:r>
      <w:r>
        <w:rPr>
          <w:i/>
          <w:lang w:val="fr-BE"/>
        </w:rPr>
        <w:t>J.T.</w:t>
      </w:r>
      <w:r>
        <w:rPr>
          <w:lang w:val="fr-BE"/>
        </w:rPr>
        <w:t>, 2020, p. 303, n° 23.</w:t>
      </w:r>
    </w:p>
  </w:footnote>
  <w:footnote w:id="7">
    <w:p w:rsidR="009D2186" w:rsidRPr="00657D85" w:rsidRDefault="009D2186" w:rsidP="00657D85">
      <w:pPr>
        <w:pStyle w:val="Notedebasdepage"/>
        <w:jc w:val="both"/>
        <w:rPr>
          <w:lang w:val="fr-BE"/>
        </w:rPr>
      </w:pPr>
      <w:r>
        <w:rPr>
          <w:rStyle w:val="Appelnotedebasdep"/>
        </w:rPr>
        <w:footnoteRef/>
      </w:r>
      <w:r w:rsidRPr="00657D85">
        <w:rPr>
          <w:lang w:val="fr-BE"/>
        </w:rPr>
        <w:t xml:space="preserve"> </w:t>
      </w:r>
      <w:proofErr w:type="spellStart"/>
      <w:r>
        <w:rPr>
          <w:lang w:val="fr-BE"/>
        </w:rPr>
        <w:t>Voy</w:t>
      </w:r>
      <w:proofErr w:type="spellEnd"/>
      <w:r>
        <w:rPr>
          <w:lang w:val="fr-BE"/>
        </w:rPr>
        <w:t xml:space="preserve">. </w:t>
      </w:r>
      <w:proofErr w:type="spellStart"/>
      <w:r>
        <w:rPr>
          <w:lang w:val="fr-BE"/>
        </w:rPr>
        <w:t>ég</w:t>
      </w:r>
      <w:proofErr w:type="spellEnd"/>
      <w:r>
        <w:rPr>
          <w:lang w:val="fr-BE"/>
        </w:rPr>
        <w:t xml:space="preserve">. </w:t>
      </w:r>
      <w:r w:rsidRPr="00657D85">
        <w:rPr>
          <w:smallCaps/>
          <w:lang w:val="fr-BE"/>
        </w:rPr>
        <w:t>D. Philippe</w:t>
      </w:r>
      <w:r>
        <w:rPr>
          <w:lang w:val="fr-BE"/>
        </w:rPr>
        <w:t xml:space="preserve"> et </w:t>
      </w:r>
      <w:r w:rsidRPr="00657D85">
        <w:rPr>
          <w:smallCaps/>
          <w:lang w:val="fr-BE"/>
        </w:rPr>
        <w:t xml:space="preserve">G. </w:t>
      </w:r>
      <w:proofErr w:type="spellStart"/>
      <w:r w:rsidRPr="00657D85">
        <w:rPr>
          <w:smallCaps/>
          <w:lang w:val="fr-BE"/>
        </w:rPr>
        <w:t>Sorreaux</w:t>
      </w:r>
      <w:proofErr w:type="spellEnd"/>
      <w:r>
        <w:rPr>
          <w:lang w:val="fr-BE"/>
        </w:rPr>
        <w:t>, « </w:t>
      </w:r>
      <w:r w:rsidRPr="00657D85">
        <w:rPr>
          <w:lang w:val="fr-BE"/>
        </w:rPr>
        <w:t>L’abus de dépendance économique, les clauses</w:t>
      </w:r>
      <w:r>
        <w:rPr>
          <w:lang w:val="fr-BE"/>
        </w:rPr>
        <w:t xml:space="preserve"> </w:t>
      </w:r>
      <w:r w:rsidRPr="00657D85">
        <w:rPr>
          <w:lang w:val="fr-BE"/>
        </w:rPr>
        <w:t>abusives et les pratiques du marché déloyales</w:t>
      </w:r>
      <w:r>
        <w:rPr>
          <w:lang w:val="fr-BE"/>
        </w:rPr>
        <w:t xml:space="preserve"> </w:t>
      </w:r>
      <w:r w:rsidRPr="00657D85">
        <w:rPr>
          <w:lang w:val="fr-BE"/>
        </w:rPr>
        <w:t>entre entreprises : premiers regards sur la loi du</w:t>
      </w:r>
      <w:r>
        <w:rPr>
          <w:lang w:val="fr-BE"/>
        </w:rPr>
        <w:t xml:space="preserve"> </w:t>
      </w:r>
      <w:r w:rsidRPr="00657D85">
        <w:rPr>
          <w:lang w:val="fr-BE"/>
        </w:rPr>
        <w:t>4 avril 2019</w:t>
      </w:r>
      <w:r>
        <w:rPr>
          <w:lang w:val="fr-BE"/>
        </w:rPr>
        <w:t xml:space="preserve"> », </w:t>
      </w:r>
      <w:r>
        <w:rPr>
          <w:i/>
          <w:lang w:val="fr-BE"/>
        </w:rPr>
        <w:t>D.A.O.R.</w:t>
      </w:r>
      <w:r>
        <w:rPr>
          <w:lang w:val="fr-BE"/>
        </w:rPr>
        <w:t>, 2019, p. 42.</w:t>
      </w:r>
    </w:p>
  </w:footnote>
  <w:footnote w:id="8">
    <w:p w:rsidR="009D2186" w:rsidRPr="001A3324" w:rsidRDefault="009D2186">
      <w:pPr>
        <w:pStyle w:val="Notedebasdepage"/>
        <w:jc w:val="both"/>
        <w:rPr>
          <w:lang w:val="nl-BE"/>
        </w:rPr>
      </w:pPr>
      <w:r>
        <w:rPr>
          <w:rStyle w:val="Appelnotedebasdep"/>
        </w:rPr>
        <w:footnoteRef/>
      </w:r>
      <w:r w:rsidRPr="00B5669C">
        <w:rPr>
          <w:lang w:val="fr-BE"/>
        </w:rPr>
        <w:t xml:space="preserve"> Il est piquant de constater que la version néerlandaise diffère de la version française : </w:t>
      </w:r>
      <w:proofErr w:type="spellStart"/>
      <w:r w:rsidRPr="00B5669C">
        <w:rPr>
          <w:lang w:val="fr-BE"/>
        </w:rPr>
        <w:t>comp</w:t>
      </w:r>
      <w:proofErr w:type="spellEnd"/>
      <w:r w:rsidRPr="00B5669C">
        <w:rPr>
          <w:lang w:val="fr-BE"/>
        </w:rPr>
        <w:t>. « </w:t>
      </w:r>
      <w:proofErr w:type="spellStart"/>
      <w:r w:rsidRPr="00440AE1">
        <w:rPr>
          <w:i/>
          <w:lang w:val="fr-BE"/>
        </w:rPr>
        <w:t>Een</w:t>
      </w:r>
      <w:proofErr w:type="spellEnd"/>
      <w:r w:rsidRPr="00440AE1">
        <w:rPr>
          <w:i/>
          <w:lang w:val="fr-BE"/>
        </w:rPr>
        <w:t xml:space="preserve"> </w:t>
      </w:r>
      <w:proofErr w:type="spellStart"/>
      <w:r w:rsidRPr="00440AE1">
        <w:rPr>
          <w:i/>
          <w:lang w:val="fr-BE"/>
        </w:rPr>
        <w:t>kosteloos</w:t>
      </w:r>
      <w:proofErr w:type="spellEnd"/>
      <w:r w:rsidRPr="00440AE1">
        <w:rPr>
          <w:i/>
          <w:lang w:val="fr-BE"/>
        </w:rPr>
        <w:t xml:space="preserve"> </w:t>
      </w:r>
      <w:proofErr w:type="spellStart"/>
      <w:r w:rsidRPr="00440AE1">
        <w:rPr>
          <w:i/>
          <w:lang w:val="fr-BE"/>
        </w:rPr>
        <w:t>opzegrecht</w:t>
      </w:r>
      <w:proofErr w:type="spellEnd"/>
      <w:r w:rsidRPr="00440AE1">
        <w:rPr>
          <w:i/>
          <w:lang w:val="fr-BE"/>
        </w:rPr>
        <w:t xml:space="preserve"> </w:t>
      </w:r>
      <w:proofErr w:type="spellStart"/>
      <w:r w:rsidRPr="00440AE1">
        <w:rPr>
          <w:i/>
          <w:lang w:val="fr-BE"/>
        </w:rPr>
        <w:t>vormt</w:t>
      </w:r>
      <w:proofErr w:type="spellEnd"/>
      <w:r w:rsidRPr="00440AE1">
        <w:rPr>
          <w:i/>
          <w:lang w:val="fr-BE"/>
        </w:rPr>
        <w:t xml:space="preserve"> dan </w:t>
      </w:r>
      <w:proofErr w:type="spellStart"/>
      <w:r w:rsidRPr="00440AE1">
        <w:rPr>
          <w:i/>
          <w:lang w:val="fr-BE"/>
        </w:rPr>
        <w:t>ook</w:t>
      </w:r>
      <w:proofErr w:type="spellEnd"/>
      <w:r w:rsidRPr="00440AE1">
        <w:rPr>
          <w:i/>
          <w:lang w:val="fr-BE"/>
        </w:rPr>
        <w:t xml:space="preserve"> </w:t>
      </w:r>
      <w:proofErr w:type="spellStart"/>
      <w:r w:rsidRPr="00440AE1">
        <w:rPr>
          <w:lang w:val="fr-BE"/>
        </w:rPr>
        <w:t>geen</w:t>
      </w:r>
      <w:proofErr w:type="spellEnd"/>
      <w:r w:rsidRPr="00440AE1">
        <w:rPr>
          <w:lang w:val="fr-BE"/>
        </w:rPr>
        <w:t xml:space="preserve"> </w:t>
      </w:r>
      <w:proofErr w:type="spellStart"/>
      <w:r w:rsidRPr="00440AE1">
        <w:rPr>
          <w:lang w:val="fr-BE"/>
        </w:rPr>
        <w:t>tegenwicht</w:t>
      </w:r>
      <w:proofErr w:type="spellEnd"/>
      <w:r w:rsidRPr="00440AE1">
        <w:rPr>
          <w:i/>
          <w:lang w:val="fr-BE"/>
        </w:rPr>
        <w:t xml:space="preserve"> in </w:t>
      </w:r>
      <w:proofErr w:type="spellStart"/>
      <w:r w:rsidRPr="00440AE1">
        <w:rPr>
          <w:i/>
          <w:lang w:val="fr-BE"/>
        </w:rPr>
        <w:t>hoofde</w:t>
      </w:r>
      <w:proofErr w:type="spellEnd"/>
      <w:r w:rsidRPr="00440AE1">
        <w:rPr>
          <w:i/>
          <w:lang w:val="fr-BE"/>
        </w:rPr>
        <w:t xml:space="preserve"> van de </w:t>
      </w:r>
      <w:proofErr w:type="spellStart"/>
      <w:r w:rsidRPr="00440AE1">
        <w:rPr>
          <w:i/>
          <w:lang w:val="fr-BE"/>
        </w:rPr>
        <w:t>tegenpartij</w:t>
      </w:r>
      <w:proofErr w:type="spellEnd"/>
      <w:r w:rsidRPr="00B5669C">
        <w:rPr>
          <w:lang w:val="fr-BE"/>
        </w:rPr>
        <w:t xml:space="preserve"> » et </w:t>
      </w:r>
      <w:r>
        <w:rPr>
          <w:lang w:val="fr-BE"/>
        </w:rPr>
        <w:t>« </w:t>
      </w:r>
      <w:r w:rsidRPr="00440AE1">
        <w:rPr>
          <w:i/>
          <w:lang w:val="fr-BE"/>
        </w:rPr>
        <w:t xml:space="preserve">Un droit de rétractation gratuit </w:t>
      </w:r>
      <w:r w:rsidRPr="00440AE1">
        <w:rPr>
          <w:lang w:val="fr-BE"/>
        </w:rPr>
        <w:t xml:space="preserve">constitue </w:t>
      </w:r>
      <w:r w:rsidRPr="00440AE1">
        <w:rPr>
          <w:i/>
          <w:lang w:val="fr-BE"/>
        </w:rPr>
        <w:t xml:space="preserve">dès lors </w:t>
      </w:r>
      <w:r w:rsidRPr="00440AE1">
        <w:rPr>
          <w:lang w:val="fr-BE"/>
        </w:rPr>
        <w:t>le contrepoids</w:t>
      </w:r>
      <w:r w:rsidRPr="00440AE1">
        <w:rPr>
          <w:i/>
          <w:lang w:val="fr-BE"/>
        </w:rPr>
        <w:t xml:space="preserve"> dans le chef de cette partie adverse</w:t>
      </w:r>
      <w:r>
        <w:rPr>
          <w:lang w:val="fr-BE"/>
        </w:rPr>
        <w:t xml:space="preserve"> » (nous soulignons) ; </w:t>
      </w:r>
      <w:proofErr w:type="spellStart"/>
      <w:r>
        <w:rPr>
          <w:lang w:val="fr-BE"/>
        </w:rPr>
        <w:t>voy</w:t>
      </w:r>
      <w:proofErr w:type="spellEnd"/>
      <w:r>
        <w:rPr>
          <w:lang w:val="fr-BE"/>
        </w:rPr>
        <w:t xml:space="preserve">. Proposition de loi </w:t>
      </w:r>
      <w:r w:rsidRPr="00AC32DB">
        <w:rPr>
          <w:lang w:val="fr-BE"/>
        </w:rPr>
        <w:t>modifiant le Code de droit économique</w:t>
      </w:r>
      <w:r>
        <w:rPr>
          <w:lang w:val="fr-BE"/>
        </w:rPr>
        <w:t xml:space="preserve"> </w:t>
      </w:r>
      <w:r w:rsidRPr="00AC32DB">
        <w:rPr>
          <w:lang w:val="fr-BE"/>
        </w:rPr>
        <w:t>en ce qui concerne l’abus d’une position</w:t>
      </w:r>
      <w:r>
        <w:rPr>
          <w:lang w:val="fr-BE"/>
        </w:rPr>
        <w:t xml:space="preserve"> </w:t>
      </w:r>
      <w:r w:rsidRPr="00AC32DB">
        <w:rPr>
          <w:lang w:val="fr-BE"/>
        </w:rPr>
        <w:t>dominante significative</w:t>
      </w:r>
      <w:r>
        <w:rPr>
          <w:lang w:val="fr-BE"/>
        </w:rPr>
        <w:t xml:space="preserve">, amendement n° 20 de Madame </w:t>
      </w:r>
      <w:proofErr w:type="spellStart"/>
      <w:r>
        <w:rPr>
          <w:lang w:val="fr-BE"/>
        </w:rPr>
        <w:t>Smaers</w:t>
      </w:r>
      <w:proofErr w:type="spellEnd"/>
      <w:r>
        <w:rPr>
          <w:lang w:val="fr-BE"/>
        </w:rPr>
        <w:t xml:space="preserve"> et consorts, </w:t>
      </w:r>
      <w:r>
        <w:rPr>
          <w:i/>
          <w:lang w:val="fr-BE"/>
        </w:rPr>
        <w:t xml:space="preserve">Doc. </w:t>
      </w:r>
      <w:r w:rsidRPr="001A3324">
        <w:rPr>
          <w:i/>
          <w:lang w:val="nl-BE"/>
        </w:rPr>
        <w:t>Parl.</w:t>
      </w:r>
      <w:r w:rsidRPr="001A3324">
        <w:rPr>
          <w:lang w:val="nl-BE"/>
        </w:rPr>
        <w:t xml:space="preserve">, Ch., 2018-2019, n° 54-1451/3, p. 41. </w:t>
      </w:r>
    </w:p>
  </w:footnote>
  <w:footnote w:id="9">
    <w:p w:rsidR="009D2186" w:rsidRPr="00094EEC" w:rsidRDefault="009D2186">
      <w:pPr>
        <w:pStyle w:val="Notedebasdepage"/>
        <w:jc w:val="both"/>
        <w:rPr>
          <w:lang w:val="nl-BE"/>
        </w:rPr>
      </w:pPr>
      <w:r>
        <w:rPr>
          <w:rStyle w:val="Appelnotedebasdep"/>
        </w:rPr>
        <w:footnoteRef/>
      </w:r>
      <w:r w:rsidRPr="00094EEC">
        <w:rPr>
          <w:lang w:val="nl-BE"/>
        </w:rPr>
        <w:t xml:space="preserve"> </w:t>
      </w:r>
      <w:r w:rsidRPr="00306500">
        <w:rPr>
          <w:lang w:val="nl-BE"/>
        </w:rPr>
        <w:t xml:space="preserve"> </w:t>
      </w:r>
      <w:r w:rsidRPr="00306500">
        <w:rPr>
          <w:smallCaps/>
          <w:lang w:val="nl-BE"/>
        </w:rPr>
        <w:t>I. Claeys</w:t>
      </w:r>
      <w:r w:rsidRPr="00306500">
        <w:rPr>
          <w:lang w:val="nl-BE"/>
        </w:rPr>
        <w:t xml:space="preserve"> et </w:t>
      </w:r>
      <w:r w:rsidRPr="00306500">
        <w:rPr>
          <w:smallCaps/>
          <w:lang w:val="nl-BE"/>
        </w:rPr>
        <w:t>T. Tanghe</w:t>
      </w:r>
      <w:r w:rsidRPr="00306500">
        <w:rPr>
          <w:lang w:val="nl-BE"/>
        </w:rPr>
        <w:t>, « De b2b-wet van 4 april 2019: bescherming van</w:t>
      </w:r>
      <w:r>
        <w:rPr>
          <w:lang w:val="nl-BE"/>
        </w:rPr>
        <w:t xml:space="preserve"> </w:t>
      </w:r>
      <w:r w:rsidRPr="00306500">
        <w:rPr>
          <w:lang w:val="nl-BE"/>
        </w:rPr>
        <w:t>ondernemingen tegen onrechtmatige bedingen,</w:t>
      </w:r>
      <w:r>
        <w:rPr>
          <w:lang w:val="nl-BE"/>
        </w:rPr>
        <w:t xml:space="preserve"> </w:t>
      </w:r>
      <w:r w:rsidRPr="00306500">
        <w:rPr>
          <w:lang w:val="nl-BE"/>
        </w:rPr>
        <w:t>misbruik van economische afhankelijkheid en oneerlijke</w:t>
      </w:r>
      <w:r>
        <w:rPr>
          <w:lang w:val="nl-BE"/>
        </w:rPr>
        <w:t xml:space="preserve"> </w:t>
      </w:r>
      <w:r w:rsidRPr="00306500">
        <w:rPr>
          <w:lang w:val="nl-BE"/>
        </w:rPr>
        <w:t>marktpraktijken (Deel 1) »</w:t>
      </w:r>
      <w:r>
        <w:rPr>
          <w:lang w:val="nl-BE"/>
        </w:rPr>
        <w:t xml:space="preserve">, </w:t>
      </w:r>
      <w:r>
        <w:rPr>
          <w:i/>
          <w:lang w:val="nl-BE"/>
        </w:rPr>
        <w:t>R.W.</w:t>
      </w:r>
      <w:r>
        <w:rPr>
          <w:lang w:val="nl-BE"/>
        </w:rPr>
        <w:t>, 2019-2020, p. 337, n° 46.</w:t>
      </w:r>
    </w:p>
  </w:footnote>
  <w:footnote w:id="10">
    <w:p w:rsidR="009D2186" w:rsidRPr="00C4718E" w:rsidRDefault="009D2186">
      <w:pPr>
        <w:pStyle w:val="Notedebasdepage"/>
        <w:jc w:val="both"/>
        <w:rPr>
          <w:lang w:val="fr-BE"/>
        </w:rPr>
      </w:pPr>
      <w:r>
        <w:rPr>
          <w:rStyle w:val="Appelnotedebasdep"/>
        </w:rPr>
        <w:footnoteRef/>
      </w:r>
      <w:r w:rsidRPr="00C4718E">
        <w:rPr>
          <w:lang w:val="fr-BE"/>
        </w:rPr>
        <w:t xml:space="preserve"> </w:t>
      </w:r>
      <w:r w:rsidRPr="00C4718E">
        <w:rPr>
          <w:smallCaps/>
          <w:lang w:val="fr-BE"/>
        </w:rPr>
        <w:t xml:space="preserve">I. </w:t>
      </w:r>
      <w:proofErr w:type="spellStart"/>
      <w:r w:rsidRPr="00C4718E">
        <w:rPr>
          <w:smallCaps/>
          <w:lang w:val="fr-BE"/>
        </w:rPr>
        <w:t>Claeys</w:t>
      </w:r>
      <w:proofErr w:type="spellEnd"/>
      <w:r w:rsidRPr="00C4718E">
        <w:rPr>
          <w:lang w:val="fr-BE"/>
        </w:rPr>
        <w:t xml:space="preserve"> et </w:t>
      </w:r>
      <w:r w:rsidRPr="00C4718E">
        <w:rPr>
          <w:smallCaps/>
          <w:lang w:val="fr-BE"/>
        </w:rPr>
        <w:t xml:space="preserve">T. </w:t>
      </w:r>
      <w:proofErr w:type="spellStart"/>
      <w:r w:rsidRPr="00C4718E">
        <w:rPr>
          <w:smallCaps/>
          <w:lang w:val="fr-BE"/>
        </w:rPr>
        <w:t>Tanghe</w:t>
      </w:r>
      <w:proofErr w:type="spellEnd"/>
      <w:r w:rsidRPr="00C4718E">
        <w:rPr>
          <w:lang w:val="fr-BE"/>
        </w:rPr>
        <w:t>,</w:t>
      </w:r>
      <w:r>
        <w:rPr>
          <w:lang w:val="fr-BE"/>
        </w:rPr>
        <w:t xml:space="preserve"> </w:t>
      </w:r>
      <w:r w:rsidR="001F769C">
        <w:rPr>
          <w:i/>
          <w:iCs/>
          <w:lang w:val="fr-BE"/>
        </w:rPr>
        <w:t xml:space="preserve">op. </w:t>
      </w:r>
      <w:proofErr w:type="spellStart"/>
      <w:r w:rsidR="001F769C">
        <w:rPr>
          <w:i/>
          <w:iCs/>
          <w:lang w:val="fr-BE"/>
        </w:rPr>
        <w:t>cit</w:t>
      </w:r>
      <w:proofErr w:type="spellEnd"/>
      <w:r w:rsidR="001F769C">
        <w:rPr>
          <w:i/>
          <w:iCs/>
          <w:lang w:val="fr-BE"/>
        </w:rPr>
        <w:t xml:space="preserve">., </w:t>
      </w:r>
      <w:r w:rsidR="001F769C" w:rsidRPr="001F769C">
        <w:rPr>
          <w:i/>
          <w:lang w:val="fr-BE"/>
        </w:rPr>
        <w:t>R.W.</w:t>
      </w:r>
      <w:r w:rsidR="001F769C" w:rsidRPr="001F769C">
        <w:rPr>
          <w:lang w:val="fr-BE"/>
        </w:rPr>
        <w:t xml:space="preserve">, 2019-2020, </w:t>
      </w:r>
      <w:r>
        <w:rPr>
          <w:lang w:val="fr-BE"/>
        </w:rPr>
        <w:t>p. 337, n° 46.</w:t>
      </w:r>
    </w:p>
  </w:footnote>
  <w:footnote w:id="11">
    <w:p w:rsidR="009D2186" w:rsidRPr="00120783" w:rsidRDefault="009D2186">
      <w:pPr>
        <w:pStyle w:val="Notedebasdepage"/>
        <w:rPr>
          <w:lang w:val="fr-BE"/>
        </w:rPr>
      </w:pPr>
      <w:r>
        <w:rPr>
          <w:rStyle w:val="Appelnotedebasdep"/>
        </w:rPr>
        <w:footnoteRef/>
      </w:r>
      <w:r w:rsidRPr="00120783">
        <w:rPr>
          <w:lang w:val="fr-BE"/>
        </w:rPr>
        <w:t xml:space="preserve"> </w:t>
      </w:r>
      <w:proofErr w:type="spellStart"/>
      <w:r>
        <w:rPr>
          <w:lang w:val="fr-BE"/>
        </w:rPr>
        <w:t>Voy</w:t>
      </w:r>
      <w:proofErr w:type="spellEnd"/>
      <w:r>
        <w:rPr>
          <w:lang w:val="fr-BE"/>
        </w:rPr>
        <w:t xml:space="preserve">. pour une comparaison entre ces différentes dispositions (B2C et B2B) : </w:t>
      </w:r>
      <w:r w:rsidRPr="00120783">
        <w:rPr>
          <w:smallCaps/>
          <w:lang w:val="fr-BE"/>
        </w:rPr>
        <w:t xml:space="preserve">R. </w:t>
      </w:r>
      <w:proofErr w:type="spellStart"/>
      <w:r w:rsidRPr="00120783">
        <w:rPr>
          <w:smallCaps/>
          <w:lang w:val="fr-BE"/>
        </w:rPr>
        <w:t>Steennot</w:t>
      </w:r>
      <w:proofErr w:type="spellEnd"/>
      <w:r w:rsidRPr="00120783">
        <w:rPr>
          <w:lang w:val="fr-BE"/>
        </w:rPr>
        <w:t>, « </w:t>
      </w:r>
      <w:proofErr w:type="spellStart"/>
      <w:r w:rsidRPr="00120783">
        <w:rPr>
          <w:lang w:val="fr-BE"/>
        </w:rPr>
        <w:t>Commentaar</w:t>
      </w:r>
      <w:proofErr w:type="spellEnd"/>
      <w:r w:rsidRPr="00120783">
        <w:rPr>
          <w:lang w:val="fr-BE"/>
        </w:rPr>
        <w:t xml:space="preserve"> </w:t>
      </w:r>
      <w:proofErr w:type="spellStart"/>
      <w:r w:rsidRPr="00120783">
        <w:rPr>
          <w:lang w:val="fr-BE"/>
        </w:rPr>
        <w:t>bij</w:t>
      </w:r>
      <w:proofErr w:type="spellEnd"/>
      <w:r w:rsidRPr="00120783">
        <w:rPr>
          <w:lang w:val="fr-BE"/>
        </w:rPr>
        <w:t xml:space="preserve"> art. VI.91/5 WER », </w:t>
      </w:r>
      <w:r w:rsidRPr="00120783">
        <w:rPr>
          <w:i/>
          <w:lang w:val="fr-BE"/>
        </w:rPr>
        <w:t>O.H.R.A.</w:t>
      </w:r>
      <w:r w:rsidRPr="00120783">
        <w:rPr>
          <w:lang w:val="fr-BE"/>
        </w:rPr>
        <w:t>, 2019, pp. 4 à 7</w:t>
      </w:r>
      <w:r>
        <w:rPr>
          <w:lang w:val="fr-BE"/>
        </w:rPr>
        <w:t xml:space="preserve">, </w:t>
      </w:r>
      <w:proofErr w:type="spellStart"/>
      <w:r>
        <w:rPr>
          <w:lang w:val="fr-BE"/>
        </w:rPr>
        <w:t>spéc</w:t>
      </w:r>
      <w:proofErr w:type="spellEnd"/>
      <w:r>
        <w:rPr>
          <w:lang w:val="fr-BE"/>
        </w:rPr>
        <w:t>. n° 8</w:t>
      </w:r>
      <w:r w:rsidRPr="00120783">
        <w:rPr>
          <w:lang w:val="fr-BE"/>
        </w:rPr>
        <w:t>.</w:t>
      </w:r>
    </w:p>
  </w:footnote>
  <w:footnote w:id="12">
    <w:p w:rsidR="009D2186" w:rsidRPr="00471386" w:rsidRDefault="009D2186" w:rsidP="00F90443">
      <w:pPr>
        <w:pStyle w:val="Notedebasdepage"/>
        <w:jc w:val="both"/>
        <w:rPr>
          <w:lang w:val="fr-BE"/>
        </w:rPr>
      </w:pPr>
      <w:r>
        <w:rPr>
          <w:rStyle w:val="Appelnotedebasdep"/>
        </w:rPr>
        <w:footnoteRef/>
      </w:r>
      <w:r w:rsidRPr="00471386">
        <w:rPr>
          <w:lang w:val="fr-BE"/>
        </w:rPr>
        <w:t xml:space="preserve"> </w:t>
      </w:r>
      <w:r>
        <w:rPr>
          <w:lang w:val="fr-BE"/>
        </w:rPr>
        <w:t xml:space="preserve">L’on rappellera que les clauses d’indexation sont soumises à une réglementation d’ordre public contenue à l’article 57 de la loi du </w:t>
      </w:r>
      <w:r w:rsidRPr="00BD301A">
        <w:rPr>
          <w:lang w:val="fr-BE"/>
        </w:rPr>
        <w:t>30 mars 1976 relative aux mesures de redressement économique</w:t>
      </w:r>
      <w:r>
        <w:rPr>
          <w:lang w:val="fr-BE"/>
        </w:rPr>
        <w:t xml:space="preserve"> (</w:t>
      </w:r>
      <w:r>
        <w:rPr>
          <w:i/>
          <w:lang w:val="fr-BE"/>
        </w:rPr>
        <w:t>M.B.</w:t>
      </w:r>
      <w:r>
        <w:rPr>
          <w:lang w:val="fr-BE"/>
        </w:rPr>
        <w:t>, 1</w:t>
      </w:r>
      <w:r w:rsidRPr="00471386">
        <w:rPr>
          <w:vertAlign w:val="superscript"/>
          <w:lang w:val="fr-BE"/>
        </w:rPr>
        <w:t>er</w:t>
      </w:r>
      <w:r>
        <w:rPr>
          <w:lang w:val="fr-BE"/>
        </w:rPr>
        <w:t xml:space="preserve"> avril 1976).</w:t>
      </w:r>
    </w:p>
  </w:footnote>
  <w:footnote w:id="13">
    <w:p w:rsidR="009D2186" w:rsidRPr="00525BB2" w:rsidRDefault="009D2186">
      <w:pPr>
        <w:pStyle w:val="Notedebasdepage"/>
        <w:rPr>
          <w:lang w:val="fr-BE"/>
        </w:rPr>
      </w:pPr>
      <w:r>
        <w:rPr>
          <w:rStyle w:val="Appelnotedebasdep"/>
        </w:rPr>
        <w:footnoteRef/>
      </w:r>
      <w:r w:rsidRPr="00525BB2">
        <w:rPr>
          <w:lang w:val="fr-BE"/>
        </w:rPr>
        <w:t xml:space="preserve"> </w:t>
      </w:r>
      <w:r>
        <w:rPr>
          <w:lang w:val="fr-BE"/>
        </w:rPr>
        <w:t xml:space="preserve">Sous réserve des clauses d’indexation et des services financiers. </w:t>
      </w:r>
    </w:p>
  </w:footnote>
  <w:footnote w:id="14">
    <w:p w:rsidR="009D2186" w:rsidRPr="00A65AAA" w:rsidRDefault="009D2186" w:rsidP="00F90443">
      <w:pPr>
        <w:pStyle w:val="Notedebasdepage"/>
        <w:jc w:val="both"/>
        <w:rPr>
          <w:lang w:val="fr-BE"/>
        </w:rPr>
      </w:pPr>
      <w:r>
        <w:rPr>
          <w:rStyle w:val="Appelnotedebasdep"/>
        </w:rPr>
        <w:footnoteRef/>
      </w:r>
      <w:r>
        <w:rPr>
          <w:lang w:val="fr-BE"/>
        </w:rPr>
        <w:t xml:space="preserve"> En d’autres termes, le caractère « essentiel » d’une caractéristique d’un produit peut également s’apprécier sur la base d’un critère subjectif en ce sens que le consommateur a attiré l’attention de l’entreprise sur l’importance que revêtait à ses yeux telle caractéristique particulière qui serait objectivement accessoire (par ex. la couleur d’un produit). </w:t>
      </w:r>
      <w:proofErr w:type="spellStart"/>
      <w:r>
        <w:rPr>
          <w:lang w:val="fr-BE"/>
        </w:rPr>
        <w:t>Voy</w:t>
      </w:r>
      <w:proofErr w:type="spellEnd"/>
      <w:r>
        <w:rPr>
          <w:lang w:val="fr-BE"/>
        </w:rPr>
        <w:t xml:space="preserve">. </w:t>
      </w:r>
      <w:r w:rsidRPr="00413925">
        <w:rPr>
          <w:smallCaps/>
          <w:lang w:val="fr-BE"/>
        </w:rPr>
        <w:t>M. Gouverneur</w:t>
      </w:r>
      <w:r>
        <w:rPr>
          <w:lang w:val="fr-BE"/>
        </w:rPr>
        <w:t xml:space="preserve">, </w:t>
      </w:r>
      <w:r w:rsidRPr="00413925">
        <w:rPr>
          <w:i/>
          <w:lang w:val="fr-BE"/>
        </w:rPr>
        <w:t>Les clauses abusives dans les contrats de consommation</w:t>
      </w:r>
      <w:r>
        <w:rPr>
          <w:lang w:val="fr-BE"/>
        </w:rPr>
        <w:t>, Liège, Kluwer, 2018, pp. 51-52.</w:t>
      </w:r>
    </w:p>
  </w:footnote>
  <w:footnote w:id="15">
    <w:p w:rsidR="009D2186" w:rsidRPr="006F561F" w:rsidRDefault="009D2186" w:rsidP="00416B0C">
      <w:pPr>
        <w:pStyle w:val="Notedebasdepage"/>
        <w:jc w:val="both"/>
        <w:rPr>
          <w:lang w:val="fr-BE"/>
        </w:rPr>
      </w:pPr>
      <w:r>
        <w:rPr>
          <w:rStyle w:val="Appelnotedebasdep"/>
        </w:rPr>
        <w:footnoteRef/>
      </w:r>
      <w:r w:rsidRPr="006F561F">
        <w:rPr>
          <w:lang w:val="fr-BE"/>
        </w:rPr>
        <w:t xml:space="preserve"> </w:t>
      </w:r>
      <w:r w:rsidRPr="00413925">
        <w:rPr>
          <w:smallCaps/>
          <w:lang w:val="fr-BE"/>
        </w:rPr>
        <w:t>M. Gouverneur</w:t>
      </w:r>
      <w:r>
        <w:rPr>
          <w:lang w:val="fr-BE"/>
        </w:rPr>
        <w:t xml:space="preserve">, </w:t>
      </w:r>
      <w:r w:rsidRPr="00413925">
        <w:rPr>
          <w:i/>
          <w:lang w:val="fr-BE"/>
        </w:rPr>
        <w:t>Les clauses abusives dans les contrats de consommation</w:t>
      </w:r>
      <w:r>
        <w:rPr>
          <w:lang w:val="fr-BE"/>
        </w:rPr>
        <w:t>, Liège, Kluwer, 2018, p. 73.</w:t>
      </w:r>
    </w:p>
  </w:footnote>
  <w:footnote w:id="16">
    <w:p w:rsidR="009D2186" w:rsidRPr="0036146B" w:rsidRDefault="009D2186" w:rsidP="00416B0C">
      <w:pPr>
        <w:pStyle w:val="Notedebasdepage"/>
        <w:jc w:val="both"/>
        <w:rPr>
          <w:lang w:val="fr-BE"/>
        </w:rPr>
      </w:pPr>
      <w:r>
        <w:rPr>
          <w:rStyle w:val="Appelnotedebasdep"/>
        </w:rPr>
        <w:footnoteRef/>
      </w:r>
      <w:r w:rsidRPr="0036146B">
        <w:rPr>
          <w:lang w:val="fr-BE"/>
        </w:rPr>
        <w:t xml:space="preserve"> </w:t>
      </w:r>
      <w:r>
        <w:rPr>
          <w:lang w:val="fr-BE"/>
        </w:rPr>
        <w:t>Le cas échéant, l’on pourrait retomber sur la définition générique de la clause abusive, visée à l’article I.8, 22°, du CDE : la clause abusive y est définie comme «  </w:t>
      </w:r>
      <w:r w:rsidRPr="00416B0C">
        <w:rPr>
          <w:i/>
          <w:lang w:val="fr-BE"/>
        </w:rPr>
        <w:t>toute clause ou toute condition dans un contrat entre une entreprise et un consommateur qui, à elle seule ou combinée avec une ou plusieurs autres clauses ou conditions, crée un déséquilibre manifeste entre les droits et les obligations des parties au détriment du consommateur</w:t>
      </w:r>
      <w:r>
        <w:rPr>
          <w:lang w:val="fr-BE"/>
        </w:rPr>
        <w:t> ».</w:t>
      </w:r>
    </w:p>
  </w:footnote>
  <w:footnote w:id="17">
    <w:p w:rsidR="009D2186" w:rsidRPr="00E52F60" w:rsidRDefault="009D2186" w:rsidP="00E52F60">
      <w:pPr>
        <w:pStyle w:val="Notedebasdepage"/>
        <w:jc w:val="both"/>
        <w:rPr>
          <w:i/>
          <w:lang w:val="fr-BE"/>
        </w:rPr>
      </w:pPr>
      <w:r>
        <w:rPr>
          <w:rStyle w:val="Appelnotedebasdep"/>
        </w:rPr>
        <w:footnoteRef/>
      </w:r>
      <w:r w:rsidRPr="00E52F60">
        <w:rPr>
          <w:lang w:val="fr-BE"/>
        </w:rPr>
        <w:t xml:space="preserve"> </w:t>
      </w:r>
      <w:r>
        <w:rPr>
          <w:lang w:val="fr-BE"/>
        </w:rPr>
        <w:t xml:space="preserve">La Commission des clauses abusives  a été amenée à se prononcer sur la stipulation suivante : </w:t>
      </w:r>
      <w:r w:rsidRPr="00E52F60">
        <w:rPr>
          <w:lang w:val="fr-BE"/>
        </w:rPr>
        <w:t xml:space="preserve">« </w:t>
      </w:r>
      <w:r w:rsidRPr="00E52F60">
        <w:rPr>
          <w:i/>
          <w:lang w:val="fr-BE"/>
        </w:rPr>
        <w:t>Toute vente du bien immobilier à une personne à laquelle l’agent immobilier a fourni des informations ou des explications de quelque nature que ce soit au sujet du bien immobilier au cours de la durée du présent contrat, équivaut</w:t>
      </w:r>
    </w:p>
    <w:p w:rsidR="009D2186" w:rsidRPr="00E52F60" w:rsidRDefault="009D2186" w:rsidP="00E52F60">
      <w:pPr>
        <w:pStyle w:val="Notedebasdepage"/>
        <w:jc w:val="both"/>
        <w:rPr>
          <w:lang w:val="fr-BE"/>
        </w:rPr>
      </w:pPr>
      <w:r w:rsidRPr="00E52F60">
        <w:rPr>
          <w:i/>
          <w:lang w:val="fr-BE"/>
        </w:rPr>
        <w:t>à la réalisation de la vente par l’agent immobilier et donne donc à ce dernier le droit aux honoraires arrêtés</w:t>
      </w:r>
      <w:r>
        <w:rPr>
          <w:lang w:val="fr-BE"/>
        </w:rPr>
        <w:t> ». Elle a considéré qu’une telle formulation tendait à donner à l’agent immobilier le droit de décider unilatéralement si la réalisation de sa mission d’intermédiaire de vente était remplie et que la clause était, partant, abusive (</w:t>
      </w:r>
      <w:proofErr w:type="spellStart"/>
      <w:r>
        <w:rPr>
          <w:lang w:val="fr-BE"/>
        </w:rPr>
        <w:t>voy</w:t>
      </w:r>
      <w:proofErr w:type="spellEnd"/>
      <w:r>
        <w:rPr>
          <w:lang w:val="fr-BE"/>
        </w:rPr>
        <w:t xml:space="preserve">. </w:t>
      </w:r>
      <w:r w:rsidRPr="00E46188">
        <w:rPr>
          <w:lang w:val="fr-BE"/>
        </w:rPr>
        <w:t>Commission</w:t>
      </w:r>
      <w:r>
        <w:rPr>
          <w:lang w:val="fr-BE"/>
        </w:rPr>
        <w:t xml:space="preserve"> des clauses abusives (C.C.A. n°</w:t>
      </w:r>
      <w:r w:rsidRPr="00E46188">
        <w:rPr>
          <w:lang w:val="fr-BE"/>
        </w:rPr>
        <w:t xml:space="preserve"> 13), </w:t>
      </w:r>
      <w:r w:rsidRPr="00E46188">
        <w:rPr>
          <w:i/>
          <w:lang w:val="fr-BE"/>
        </w:rPr>
        <w:t>Recommandations précitées relatives aux conditions générales des agents immobiliers dans les contrats d’intermédiaires de vente, Bruxelles</w:t>
      </w:r>
      <w:r w:rsidRPr="00E46188">
        <w:rPr>
          <w:lang w:val="fr-BE"/>
        </w:rPr>
        <w:t>, 3 juin</w:t>
      </w:r>
      <w:r>
        <w:rPr>
          <w:lang w:val="fr-BE"/>
        </w:rPr>
        <w:t xml:space="preserve"> </w:t>
      </w:r>
      <w:r w:rsidRPr="00E46188">
        <w:rPr>
          <w:lang w:val="fr-BE"/>
        </w:rPr>
        <w:t>2004, p.</w:t>
      </w:r>
      <w:r>
        <w:rPr>
          <w:lang w:val="fr-BE"/>
        </w:rPr>
        <w:t xml:space="preserve"> </w:t>
      </w:r>
      <w:r>
        <w:rPr>
          <w:lang w:val="fr-BE"/>
        </w:rPr>
        <w:t>8,</w:t>
      </w:r>
      <w:r w:rsidRPr="00E52F60">
        <w:rPr>
          <w:lang w:val="fr-BE"/>
        </w:rPr>
        <w:t xml:space="preserve"> </w:t>
      </w:r>
      <w:r>
        <w:rPr>
          <w:lang w:val="fr-BE"/>
        </w:rPr>
        <w:t xml:space="preserve">disponible à l’adresse suivante : </w:t>
      </w:r>
      <w:hyperlink r:id="rId1" w:history="1">
        <w:r w:rsidRPr="000A767C">
          <w:rPr>
            <w:rStyle w:val="Lienhypertexte"/>
            <w:lang w:val="fr-BE"/>
          </w:rPr>
          <w:t>https://economie.fgov.be/sites/default/files/Files/About-SPF/avis-cob-cca/Avis-13-Commission-Clauses-Abusives.pdf</w:t>
        </w:r>
      </w:hyperlink>
      <w:r>
        <w:rPr>
          <w:lang w:val="fr-BE"/>
        </w:rPr>
        <w:t>.</w:t>
      </w:r>
    </w:p>
  </w:footnote>
  <w:footnote w:id="18">
    <w:p w:rsidR="009D2186" w:rsidRPr="00525BB2" w:rsidRDefault="009D2186">
      <w:pPr>
        <w:pStyle w:val="Notedebasdepage"/>
        <w:rPr>
          <w:lang w:val="fr-BE"/>
        </w:rPr>
      </w:pPr>
      <w:r>
        <w:rPr>
          <w:rStyle w:val="Appelnotedebasdep"/>
        </w:rPr>
        <w:footnoteRef/>
      </w:r>
      <w:r w:rsidRPr="00525BB2">
        <w:rPr>
          <w:lang w:val="fr-BE"/>
        </w:rPr>
        <w:t xml:space="preserve"> </w:t>
      </w:r>
      <w:r w:rsidRPr="00525BB2">
        <w:rPr>
          <w:smallCaps/>
          <w:lang w:val="fr-BE"/>
        </w:rPr>
        <w:t xml:space="preserve">P. </w:t>
      </w:r>
      <w:proofErr w:type="spellStart"/>
      <w:r w:rsidRPr="00525BB2">
        <w:rPr>
          <w:smallCaps/>
          <w:lang w:val="fr-BE"/>
        </w:rPr>
        <w:t>Cambie</w:t>
      </w:r>
      <w:proofErr w:type="spellEnd"/>
      <w:r w:rsidRPr="00525BB2">
        <w:rPr>
          <w:lang w:val="fr-BE"/>
        </w:rPr>
        <w:t xml:space="preserve">, </w:t>
      </w:r>
      <w:proofErr w:type="spellStart"/>
      <w:r w:rsidRPr="00525BB2">
        <w:rPr>
          <w:i/>
          <w:lang w:val="fr-BE"/>
        </w:rPr>
        <w:t>Onrechtmatige</w:t>
      </w:r>
      <w:proofErr w:type="spellEnd"/>
      <w:r w:rsidRPr="00525BB2">
        <w:rPr>
          <w:i/>
          <w:lang w:val="fr-BE"/>
        </w:rPr>
        <w:t xml:space="preserve"> </w:t>
      </w:r>
      <w:proofErr w:type="spellStart"/>
      <w:r w:rsidRPr="00525BB2">
        <w:rPr>
          <w:i/>
          <w:lang w:val="fr-BE"/>
        </w:rPr>
        <w:t>bedingen</w:t>
      </w:r>
      <w:proofErr w:type="spellEnd"/>
      <w:r w:rsidRPr="008D1790">
        <w:rPr>
          <w:lang w:val="fr-BE"/>
        </w:rPr>
        <w:t xml:space="preserve">, Brussel, </w:t>
      </w:r>
      <w:proofErr w:type="spellStart"/>
      <w:r w:rsidRPr="008D1790">
        <w:rPr>
          <w:lang w:val="fr-BE"/>
        </w:rPr>
        <w:t>Larcier</w:t>
      </w:r>
      <w:proofErr w:type="spellEnd"/>
      <w:r w:rsidRPr="008D1790">
        <w:rPr>
          <w:lang w:val="fr-BE"/>
        </w:rPr>
        <w:t xml:space="preserve">, </w:t>
      </w:r>
      <w:r>
        <w:rPr>
          <w:lang w:val="fr-BE"/>
        </w:rPr>
        <w:t xml:space="preserve">2009, pp. 345 à 348, </w:t>
      </w:r>
      <w:proofErr w:type="spellStart"/>
      <w:r>
        <w:rPr>
          <w:lang w:val="fr-BE"/>
        </w:rPr>
        <w:t>spéc</w:t>
      </w:r>
      <w:proofErr w:type="spellEnd"/>
      <w:r>
        <w:rPr>
          <w:lang w:val="fr-BE"/>
        </w:rPr>
        <w:t>. n° 304 et les notes 1123 et 1124.</w:t>
      </w:r>
    </w:p>
  </w:footnote>
  <w:footnote w:id="19">
    <w:p w:rsidR="009D2186" w:rsidRPr="00384218" w:rsidRDefault="009D2186" w:rsidP="00C53CC9">
      <w:pPr>
        <w:pStyle w:val="Notedebasdepage"/>
        <w:jc w:val="both"/>
        <w:rPr>
          <w:lang w:val="fr-BE"/>
        </w:rPr>
      </w:pPr>
      <w:r>
        <w:rPr>
          <w:rStyle w:val="Appelnotedebasdep"/>
        </w:rPr>
        <w:footnoteRef/>
      </w:r>
      <w:r w:rsidRPr="00384218">
        <w:rPr>
          <w:lang w:val="fr-BE"/>
        </w:rPr>
        <w:t xml:space="preserve"> </w:t>
      </w:r>
      <w:proofErr w:type="spellStart"/>
      <w:r w:rsidRPr="00384218">
        <w:rPr>
          <w:lang w:val="fr-BE"/>
        </w:rPr>
        <w:t>Civ</w:t>
      </w:r>
      <w:proofErr w:type="spellEnd"/>
      <w:r w:rsidRPr="00384218">
        <w:rPr>
          <w:lang w:val="fr-BE"/>
        </w:rPr>
        <w:t xml:space="preserve">. Louvain, 7 avril 2011, </w:t>
      </w:r>
      <w:r w:rsidRPr="00384218">
        <w:rPr>
          <w:i/>
          <w:lang w:val="fr-BE"/>
        </w:rPr>
        <w:t>R.C.D.I.</w:t>
      </w:r>
      <w:r>
        <w:rPr>
          <w:lang w:val="fr-BE"/>
        </w:rPr>
        <w:t>, 2012, p. 30.</w:t>
      </w:r>
    </w:p>
  </w:footnote>
  <w:footnote w:id="20">
    <w:p w:rsidR="009D2186" w:rsidRPr="00525BB2" w:rsidRDefault="009D2186" w:rsidP="00525BB2">
      <w:pPr>
        <w:pStyle w:val="Notedebasdepage"/>
        <w:jc w:val="both"/>
        <w:rPr>
          <w:lang w:val="fr-BE"/>
        </w:rPr>
      </w:pPr>
      <w:r>
        <w:rPr>
          <w:rStyle w:val="Appelnotedebasdep"/>
        </w:rPr>
        <w:footnoteRef/>
      </w:r>
      <w:r w:rsidRPr="00525BB2">
        <w:rPr>
          <w:lang w:val="fr-BE"/>
        </w:rPr>
        <w:t xml:space="preserve"> </w:t>
      </w:r>
      <w:proofErr w:type="spellStart"/>
      <w:r>
        <w:rPr>
          <w:lang w:val="fr-BE"/>
        </w:rPr>
        <w:t>Voy</w:t>
      </w:r>
      <w:proofErr w:type="spellEnd"/>
      <w:r>
        <w:rPr>
          <w:lang w:val="fr-BE"/>
        </w:rPr>
        <w:t xml:space="preserve">. </w:t>
      </w:r>
      <w:proofErr w:type="spellStart"/>
      <w:r>
        <w:rPr>
          <w:lang w:val="fr-BE"/>
        </w:rPr>
        <w:t>ég</w:t>
      </w:r>
      <w:proofErr w:type="spellEnd"/>
      <w:r>
        <w:rPr>
          <w:lang w:val="fr-BE"/>
        </w:rPr>
        <w:t xml:space="preserve">. l’art. 5 du  Règlement (UE) 2019/1150 du Parlement européen et du Conseil </w:t>
      </w:r>
      <w:r w:rsidRPr="00AD7EDF">
        <w:rPr>
          <w:lang w:val="fr-BE"/>
        </w:rPr>
        <w:t>du 20 juin 2019</w:t>
      </w:r>
      <w:r>
        <w:rPr>
          <w:lang w:val="fr-BE"/>
        </w:rPr>
        <w:t xml:space="preserve"> </w:t>
      </w:r>
      <w:r w:rsidRPr="00AD7EDF">
        <w:rPr>
          <w:lang w:val="fr-BE"/>
        </w:rPr>
        <w:t>promouvant l’équité et la transparence pour les entreprises utilisatrices de services d’intermédiation en ligne</w:t>
      </w:r>
      <w:r>
        <w:rPr>
          <w:lang w:val="fr-BE"/>
        </w:rPr>
        <w:t xml:space="preserve">, </w:t>
      </w:r>
      <w:r>
        <w:rPr>
          <w:i/>
          <w:lang w:val="fr-BE"/>
        </w:rPr>
        <w:t>J.O.U.E.</w:t>
      </w:r>
      <w:r>
        <w:rPr>
          <w:lang w:val="fr-BE"/>
        </w:rPr>
        <w:t>, L 186, 11 juillet 2019.</w:t>
      </w:r>
    </w:p>
  </w:footnote>
  <w:footnote w:id="21">
    <w:p w:rsidR="009D2186" w:rsidRPr="00525BB2" w:rsidRDefault="009D2186" w:rsidP="00C53CC9">
      <w:pPr>
        <w:pStyle w:val="Notedebasdepage"/>
        <w:jc w:val="both"/>
        <w:rPr>
          <w:lang w:val="fr-BE"/>
        </w:rPr>
      </w:pPr>
      <w:r>
        <w:rPr>
          <w:rStyle w:val="Appelnotedebasdep"/>
        </w:rPr>
        <w:footnoteRef/>
      </w:r>
      <w:r w:rsidRPr="00AC32DB">
        <w:rPr>
          <w:lang w:val="fr-BE"/>
        </w:rPr>
        <w:t xml:space="preserve"> </w:t>
      </w:r>
      <w:r>
        <w:rPr>
          <w:lang w:val="fr-BE"/>
        </w:rPr>
        <w:t xml:space="preserve">Proposition de loi </w:t>
      </w:r>
      <w:r w:rsidRPr="00AC32DB">
        <w:rPr>
          <w:lang w:val="fr-BE"/>
        </w:rPr>
        <w:t>modifiant le Code de droit économique</w:t>
      </w:r>
      <w:r>
        <w:rPr>
          <w:lang w:val="fr-BE"/>
        </w:rPr>
        <w:t xml:space="preserve"> </w:t>
      </w:r>
      <w:r w:rsidRPr="00AC32DB">
        <w:rPr>
          <w:lang w:val="fr-BE"/>
        </w:rPr>
        <w:t>en ce qui concerne l’abus d’une position</w:t>
      </w:r>
      <w:r>
        <w:rPr>
          <w:lang w:val="fr-BE"/>
        </w:rPr>
        <w:t xml:space="preserve"> </w:t>
      </w:r>
      <w:r w:rsidRPr="00AC32DB">
        <w:rPr>
          <w:lang w:val="fr-BE"/>
        </w:rPr>
        <w:t>dominante significative</w:t>
      </w:r>
      <w:r>
        <w:rPr>
          <w:lang w:val="fr-BE"/>
        </w:rPr>
        <w:t xml:space="preserve">, amendement n° 19 de Madame </w:t>
      </w:r>
      <w:proofErr w:type="spellStart"/>
      <w:r>
        <w:rPr>
          <w:lang w:val="fr-BE"/>
        </w:rPr>
        <w:t>Smaers</w:t>
      </w:r>
      <w:proofErr w:type="spellEnd"/>
      <w:r>
        <w:rPr>
          <w:lang w:val="fr-BE"/>
        </w:rPr>
        <w:t xml:space="preserve"> et consorts, </w:t>
      </w:r>
      <w:r>
        <w:rPr>
          <w:i/>
          <w:lang w:val="fr-BE"/>
        </w:rPr>
        <w:t xml:space="preserve">Doc. </w:t>
      </w:r>
      <w:proofErr w:type="spellStart"/>
      <w:r w:rsidRPr="00525BB2">
        <w:rPr>
          <w:i/>
          <w:lang w:val="fr-BE"/>
        </w:rPr>
        <w:t>Parl</w:t>
      </w:r>
      <w:proofErr w:type="spellEnd"/>
      <w:r w:rsidRPr="00525BB2">
        <w:rPr>
          <w:i/>
          <w:lang w:val="fr-BE"/>
        </w:rPr>
        <w:t>.</w:t>
      </w:r>
      <w:r w:rsidRPr="00525BB2">
        <w:rPr>
          <w:lang w:val="fr-BE"/>
        </w:rPr>
        <w:t>, Ch., 2018-2019, n° 54-1451/3, p. 37.</w:t>
      </w:r>
      <w:r>
        <w:rPr>
          <w:lang w:val="fr-BE"/>
        </w:rPr>
        <w:t xml:space="preserve"> Selon R. </w:t>
      </w:r>
      <w:proofErr w:type="spellStart"/>
      <w:r>
        <w:rPr>
          <w:lang w:val="fr-BE"/>
        </w:rPr>
        <w:t>Jafferali</w:t>
      </w:r>
      <w:proofErr w:type="spellEnd"/>
      <w:r>
        <w:rPr>
          <w:lang w:val="fr-BE"/>
        </w:rPr>
        <w:t>, il parait critiquable, à tout le moins dans les relations B2B, de considérer une clause comme abusive dès qu’elle est rédigée de manière obscure. Selon l’auteur, le fait qu’une stipulation soit formulée en des termes vagues ou imprécis n’implique pas pour autant que l’entreprise ait le droit de l’interpréter unilatéralement. C’est, en effet, au juge qu’il appartient d’interpréter un contrat (</w:t>
      </w:r>
      <w:proofErr w:type="spellStart"/>
      <w:r>
        <w:rPr>
          <w:lang w:val="fr-BE"/>
        </w:rPr>
        <w:t>voy</w:t>
      </w:r>
      <w:proofErr w:type="spellEnd"/>
      <w:r>
        <w:rPr>
          <w:lang w:val="fr-BE"/>
        </w:rPr>
        <w:t>.</w:t>
      </w:r>
      <w:r w:rsidRPr="004E2AF3">
        <w:rPr>
          <w:smallCaps/>
          <w:lang w:val="fr-BE"/>
        </w:rPr>
        <w:t xml:space="preserve"> </w:t>
      </w:r>
      <w:r w:rsidRPr="00505DD5">
        <w:rPr>
          <w:smallCaps/>
          <w:lang w:val="fr-BE"/>
        </w:rPr>
        <w:t xml:space="preserve">R. </w:t>
      </w:r>
      <w:proofErr w:type="spellStart"/>
      <w:r w:rsidRPr="00216104">
        <w:rPr>
          <w:smallCaps/>
          <w:lang w:val="fr-BE"/>
        </w:rPr>
        <w:t>Jafferali</w:t>
      </w:r>
      <w:proofErr w:type="spellEnd"/>
      <w:r w:rsidRPr="00216104">
        <w:rPr>
          <w:lang w:val="fr-BE"/>
        </w:rPr>
        <w:t xml:space="preserve">, </w:t>
      </w:r>
      <w:r w:rsidRPr="00B82110">
        <w:rPr>
          <w:i/>
          <w:iCs/>
          <w:lang w:val="fr-BE"/>
        </w:rPr>
        <w:t xml:space="preserve">op. </w:t>
      </w:r>
      <w:proofErr w:type="spellStart"/>
      <w:r w:rsidRPr="00B82110">
        <w:rPr>
          <w:i/>
          <w:iCs/>
          <w:lang w:val="fr-BE"/>
        </w:rPr>
        <w:t>cit</w:t>
      </w:r>
      <w:proofErr w:type="spellEnd"/>
      <w:r w:rsidRPr="00B82110">
        <w:rPr>
          <w:i/>
          <w:iCs/>
          <w:lang w:val="fr-BE"/>
        </w:rPr>
        <w:t>.</w:t>
      </w:r>
      <w:r>
        <w:rPr>
          <w:lang w:val="fr-BE"/>
        </w:rPr>
        <w:t xml:space="preserve">, </w:t>
      </w:r>
      <w:r w:rsidRPr="00216104">
        <w:rPr>
          <w:i/>
          <w:lang w:val="fr-BE"/>
        </w:rPr>
        <w:t>J.T.</w:t>
      </w:r>
      <w:r w:rsidRPr="00216104">
        <w:rPr>
          <w:lang w:val="fr-BE"/>
        </w:rPr>
        <w:t xml:space="preserve">, 2020, </w:t>
      </w:r>
      <w:r>
        <w:rPr>
          <w:lang w:val="fr-BE"/>
        </w:rPr>
        <w:t xml:space="preserve">p. 303, </w:t>
      </w:r>
      <w:r w:rsidRPr="00216104">
        <w:rPr>
          <w:lang w:val="fr-BE"/>
        </w:rPr>
        <w:t xml:space="preserve">n° 24). </w:t>
      </w:r>
    </w:p>
  </w:footnote>
  <w:footnote w:id="22">
    <w:p w:rsidR="009D2186" w:rsidRPr="00D23B33" w:rsidRDefault="009D2186" w:rsidP="00306500">
      <w:pPr>
        <w:pStyle w:val="Notedebasdepage"/>
        <w:jc w:val="both"/>
        <w:rPr>
          <w:lang w:val="fr-BE"/>
        </w:rPr>
      </w:pPr>
      <w:r w:rsidRPr="00216104">
        <w:rPr>
          <w:rStyle w:val="Appelnotedebasdep"/>
        </w:rPr>
        <w:footnoteRef/>
      </w:r>
      <w:r w:rsidRPr="00525BB2">
        <w:rPr>
          <w:lang w:val="fr-BE"/>
        </w:rPr>
        <w:t xml:space="preserve"> </w:t>
      </w:r>
      <w:r w:rsidRPr="00216104">
        <w:rPr>
          <w:lang w:val="fr-BE"/>
        </w:rPr>
        <w:t>Selon certains auteurs, l</w:t>
      </w:r>
      <w:r w:rsidRPr="005E5421">
        <w:rPr>
          <w:lang w:val="fr-BE"/>
        </w:rPr>
        <w:t>a clause qui stipule que le contrat doit toujours être interprété en faveur d’une part</w:t>
      </w:r>
      <w:r w:rsidRPr="00216104">
        <w:rPr>
          <w:lang w:val="fr-BE"/>
        </w:rPr>
        <w:t>ie déterminée ne tombe</w:t>
      </w:r>
      <w:r w:rsidRPr="005E5421">
        <w:rPr>
          <w:lang w:val="fr-BE"/>
        </w:rPr>
        <w:t xml:space="preserve"> pas sous le coup des dispositions dont question (VI.83, 6° et VI.91/4, 2°, du CDE), dans la mesure où c’est au juge qu’il appartient d’interpréter une telle stipulation</w:t>
      </w:r>
      <w:r w:rsidRPr="00216104">
        <w:rPr>
          <w:lang w:val="fr-BE"/>
        </w:rPr>
        <w:t xml:space="preserve"> (</w:t>
      </w:r>
      <w:proofErr w:type="spellStart"/>
      <w:r w:rsidRPr="00216104">
        <w:rPr>
          <w:lang w:val="fr-BE"/>
        </w:rPr>
        <w:t>voy</w:t>
      </w:r>
      <w:proofErr w:type="spellEnd"/>
      <w:r w:rsidRPr="00216104">
        <w:rPr>
          <w:lang w:val="fr-BE"/>
        </w:rPr>
        <w:t xml:space="preserve">. </w:t>
      </w:r>
      <w:r w:rsidRPr="00216104">
        <w:rPr>
          <w:smallCaps/>
          <w:lang w:val="nl-BE"/>
        </w:rPr>
        <w:t>I. Claeys</w:t>
      </w:r>
      <w:r w:rsidRPr="00216104">
        <w:rPr>
          <w:lang w:val="nl-BE"/>
        </w:rPr>
        <w:t xml:space="preserve"> et </w:t>
      </w:r>
      <w:r w:rsidRPr="00216104">
        <w:rPr>
          <w:smallCaps/>
          <w:lang w:val="nl-BE"/>
        </w:rPr>
        <w:t>T. Tanghe</w:t>
      </w:r>
      <w:r w:rsidRPr="00216104">
        <w:rPr>
          <w:lang w:val="nl-BE"/>
        </w:rPr>
        <w:t>, « De b2b-wet van 4 april 2019: b</w:t>
      </w:r>
      <w:r w:rsidRPr="00710A76">
        <w:rPr>
          <w:lang w:val="nl-BE"/>
        </w:rPr>
        <w:t>escherming van ondernemingen tegen onrechtmatige bedingen, misbruik van economische afhankelijkheid</w:t>
      </w:r>
      <w:r w:rsidRPr="00F1490F">
        <w:rPr>
          <w:lang w:val="nl-BE"/>
        </w:rPr>
        <w:t xml:space="preserve"> en oneerlijke marktpraktijken (Deel 1) », </w:t>
      </w:r>
      <w:r w:rsidRPr="00F1490F">
        <w:rPr>
          <w:i/>
          <w:lang w:val="nl-BE"/>
        </w:rPr>
        <w:t>R.W.</w:t>
      </w:r>
      <w:r w:rsidRPr="00F1490F">
        <w:rPr>
          <w:lang w:val="nl-BE"/>
        </w:rPr>
        <w:t>, 2019-2020, p. 334, n° 35</w:t>
      </w:r>
      <w:r w:rsidRPr="008351F0">
        <w:rPr>
          <w:lang w:val="nl-BE"/>
        </w:rPr>
        <w:t>).</w:t>
      </w:r>
      <w:r w:rsidRPr="002764C5">
        <w:rPr>
          <w:lang w:val="nl-BE"/>
        </w:rPr>
        <w:t xml:space="preserve"> </w:t>
      </w:r>
      <w:r w:rsidRPr="00F90443">
        <w:rPr>
          <w:lang w:val="fr-BE"/>
        </w:rPr>
        <w:t>Il convient toutefois de vérifier, le cas échéant, si une telle clause peu</w:t>
      </w:r>
      <w:r w:rsidRPr="00525BB2">
        <w:rPr>
          <w:lang w:val="fr-BE"/>
        </w:rPr>
        <w:t>t résister aux autres préceptes d’interprétation</w:t>
      </w:r>
      <w:r>
        <w:rPr>
          <w:lang w:val="fr-BE"/>
        </w:rPr>
        <w:t>,</w:t>
      </w:r>
      <w:r w:rsidRPr="00F90443">
        <w:rPr>
          <w:lang w:val="fr-BE"/>
        </w:rPr>
        <w:t xml:space="preserve"> tels que l’article VI.37 du CDE qui impose de retenir l’interprétation la plus favorable au consommateur (dans les relations B2C) ou encore le principe de l’interprétation </w:t>
      </w:r>
      <w:r w:rsidRPr="00F90443">
        <w:rPr>
          <w:i/>
          <w:lang w:val="fr-BE"/>
        </w:rPr>
        <w:t xml:space="preserve">contra </w:t>
      </w:r>
      <w:proofErr w:type="spellStart"/>
      <w:r w:rsidRPr="00F90443">
        <w:rPr>
          <w:i/>
          <w:lang w:val="fr-BE"/>
        </w:rPr>
        <w:t>proferentem</w:t>
      </w:r>
      <w:proofErr w:type="spellEnd"/>
      <w:r w:rsidRPr="00F90443">
        <w:rPr>
          <w:i/>
          <w:lang w:val="fr-BE"/>
        </w:rPr>
        <w:t xml:space="preserve"> </w:t>
      </w:r>
      <w:r w:rsidRPr="00F90443">
        <w:rPr>
          <w:lang w:val="fr-BE"/>
        </w:rPr>
        <w:t xml:space="preserve">en matière de contrats d’adhésion autres que les contrats de consommation. </w:t>
      </w:r>
      <w:proofErr w:type="spellStart"/>
      <w:r w:rsidRPr="001F769C">
        <w:rPr>
          <w:lang w:val="fr-BE"/>
        </w:rPr>
        <w:t>Voy</w:t>
      </w:r>
      <w:proofErr w:type="spellEnd"/>
      <w:r w:rsidRPr="001F769C">
        <w:rPr>
          <w:lang w:val="fr-BE"/>
        </w:rPr>
        <w:t xml:space="preserve">. </w:t>
      </w:r>
      <w:proofErr w:type="spellStart"/>
      <w:r w:rsidRPr="001F769C">
        <w:rPr>
          <w:lang w:val="fr-BE"/>
        </w:rPr>
        <w:t>ég</w:t>
      </w:r>
      <w:proofErr w:type="spellEnd"/>
      <w:r w:rsidRPr="001F769C">
        <w:rPr>
          <w:lang w:val="fr-BE"/>
        </w:rPr>
        <w:t xml:space="preserve">. </w:t>
      </w:r>
      <w:r w:rsidRPr="001F769C">
        <w:rPr>
          <w:smallCaps/>
          <w:lang w:val="fr-BE"/>
        </w:rPr>
        <w:t xml:space="preserve">R. </w:t>
      </w:r>
      <w:proofErr w:type="spellStart"/>
      <w:r w:rsidRPr="001F769C">
        <w:rPr>
          <w:smallCaps/>
          <w:lang w:val="fr-BE"/>
        </w:rPr>
        <w:t>Steennot</w:t>
      </w:r>
      <w:proofErr w:type="spellEnd"/>
      <w:r w:rsidRPr="001F769C">
        <w:rPr>
          <w:lang w:val="fr-BE"/>
        </w:rPr>
        <w:t>, « </w:t>
      </w:r>
      <w:proofErr w:type="spellStart"/>
      <w:r w:rsidRPr="001F769C">
        <w:rPr>
          <w:lang w:val="fr-BE"/>
        </w:rPr>
        <w:t>Commentaar</w:t>
      </w:r>
      <w:proofErr w:type="spellEnd"/>
      <w:r w:rsidRPr="001F769C">
        <w:rPr>
          <w:lang w:val="fr-BE"/>
        </w:rPr>
        <w:t xml:space="preserve"> </w:t>
      </w:r>
      <w:proofErr w:type="spellStart"/>
      <w:r w:rsidRPr="001F769C">
        <w:rPr>
          <w:lang w:val="fr-BE"/>
        </w:rPr>
        <w:t>bij</w:t>
      </w:r>
      <w:proofErr w:type="spellEnd"/>
      <w:r w:rsidRPr="001F769C">
        <w:rPr>
          <w:lang w:val="fr-BE"/>
        </w:rPr>
        <w:t xml:space="preserve"> art. </w:t>
      </w:r>
      <w:r w:rsidRPr="00D23B33">
        <w:rPr>
          <w:lang w:val="fr-BE"/>
        </w:rPr>
        <w:t xml:space="preserve">VI.91/4 WER », </w:t>
      </w:r>
      <w:r w:rsidRPr="00D23B33">
        <w:rPr>
          <w:i/>
          <w:lang w:val="fr-BE"/>
        </w:rPr>
        <w:t>O.H.R.A.</w:t>
      </w:r>
      <w:r w:rsidRPr="00D23B33">
        <w:rPr>
          <w:lang w:val="fr-BE"/>
        </w:rPr>
        <w:t xml:space="preserve">, 2019, p. 4, n° 5 qui estime que </w:t>
      </w:r>
      <w:r>
        <w:rPr>
          <w:lang w:val="fr-BE"/>
        </w:rPr>
        <w:t xml:space="preserve">la clause aux termes de laquelle le contrat doit toujours être interprété en faveur de la partie qui l’a rédigé pourrait être considérée comme abusive sur pied de la norme générale. </w:t>
      </w:r>
    </w:p>
  </w:footnote>
  <w:footnote w:id="23">
    <w:p w:rsidR="009D2186" w:rsidRPr="00371B44" w:rsidRDefault="009D2186" w:rsidP="00C53CC9">
      <w:pPr>
        <w:pStyle w:val="Notedebasdepage"/>
        <w:jc w:val="both"/>
        <w:rPr>
          <w:lang w:val="fr-BE"/>
        </w:rPr>
      </w:pPr>
      <w:r>
        <w:rPr>
          <w:rStyle w:val="Appelnotedebasdep"/>
        </w:rPr>
        <w:footnoteRef/>
      </w:r>
      <w:r w:rsidRPr="00371B44">
        <w:rPr>
          <w:lang w:val="fr-BE"/>
        </w:rPr>
        <w:t xml:space="preserve"> </w:t>
      </w:r>
      <w:r w:rsidRPr="0044600F">
        <w:rPr>
          <w:smallCaps/>
          <w:lang w:val="fr-BE"/>
        </w:rPr>
        <w:t>M. Gouverneur</w:t>
      </w:r>
      <w:r>
        <w:rPr>
          <w:lang w:val="fr-BE"/>
        </w:rPr>
        <w:t>,</w:t>
      </w:r>
      <w:r w:rsidRPr="0044600F">
        <w:rPr>
          <w:lang w:val="fr-BE"/>
        </w:rPr>
        <w:t xml:space="preserve"> </w:t>
      </w:r>
      <w:r>
        <w:rPr>
          <w:lang w:val="fr-BE"/>
        </w:rPr>
        <w:t>« </w:t>
      </w:r>
      <w:r w:rsidRPr="0044600F">
        <w:rPr>
          <w:lang w:val="fr-BE"/>
        </w:rPr>
        <w:t>Les clauses abusives dans les contrats conclus entre les entreprises ou les personnes exerçant une profession libérale et les consommateurs (Volume 2)</w:t>
      </w:r>
      <w:r>
        <w:rPr>
          <w:lang w:val="fr-BE"/>
        </w:rPr>
        <w:t xml:space="preserve"> », </w:t>
      </w:r>
      <w:r w:rsidRPr="0044600F">
        <w:rPr>
          <w:i/>
          <w:lang w:val="fr-BE"/>
        </w:rPr>
        <w:t>Guide juridique de l'entreprise - Traité théorique et pratique</w:t>
      </w:r>
      <w:r>
        <w:rPr>
          <w:lang w:val="fr-BE"/>
        </w:rPr>
        <w:t>, 2017</w:t>
      </w:r>
      <w:r w:rsidRPr="0044600F">
        <w:rPr>
          <w:lang w:val="fr-BE"/>
        </w:rPr>
        <w:t xml:space="preserve">, </w:t>
      </w:r>
      <w:r>
        <w:rPr>
          <w:lang w:val="fr-BE"/>
        </w:rPr>
        <w:t>p. 43, n° 680.</w:t>
      </w:r>
    </w:p>
  </w:footnote>
  <w:footnote w:id="24">
    <w:p w:rsidR="009D2186" w:rsidRPr="00C53CC9" w:rsidRDefault="009D2186" w:rsidP="00C53CC9">
      <w:pPr>
        <w:pStyle w:val="Notedebasdepage"/>
        <w:jc w:val="both"/>
        <w:rPr>
          <w:lang w:val="nl-BE"/>
        </w:rPr>
      </w:pPr>
      <w:r>
        <w:rPr>
          <w:rStyle w:val="Appelnotedebasdep"/>
        </w:rPr>
        <w:footnoteRef/>
      </w:r>
      <w:r w:rsidRPr="00B56295">
        <w:rPr>
          <w:lang w:val="nl-BE"/>
        </w:rPr>
        <w:t xml:space="preserve"> </w:t>
      </w:r>
      <w:r w:rsidRPr="00B56295">
        <w:rPr>
          <w:smallCaps/>
          <w:lang w:val="nl-BE"/>
        </w:rPr>
        <w:t>R. Steennot</w:t>
      </w:r>
      <w:r w:rsidRPr="00B56295">
        <w:rPr>
          <w:lang w:val="nl-BE"/>
        </w:rPr>
        <w:t xml:space="preserve">, « Commentaar bij art. </w:t>
      </w:r>
      <w:r w:rsidRPr="00506143">
        <w:rPr>
          <w:lang w:val="nl-BE"/>
        </w:rPr>
        <w:t>VI.83, 8°</w:t>
      </w:r>
      <w:r>
        <w:rPr>
          <w:lang w:val="nl-BE"/>
        </w:rPr>
        <w:t xml:space="preserve"> WER</w:t>
      </w:r>
      <w:r w:rsidRPr="00506143">
        <w:rPr>
          <w:lang w:val="nl-BE"/>
        </w:rPr>
        <w:t xml:space="preserve"> », </w:t>
      </w:r>
      <w:r w:rsidRPr="008A424A">
        <w:rPr>
          <w:i/>
          <w:lang w:val="nl-BE"/>
        </w:rPr>
        <w:t xml:space="preserve">O.H.R.A., </w:t>
      </w:r>
      <w:r>
        <w:rPr>
          <w:lang w:val="nl-BE"/>
        </w:rPr>
        <w:t xml:space="preserve">2017, </w:t>
      </w:r>
      <w:r w:rsidRPr="00506143">
        <w:rPr>
          <w:lang w:val="nl-BE"/>
        </w:rPr>
        <w:t>p. 2, n° 1</w:t>
      </w:r>
      <w:r>
        <w:rPr>
          <w:lang w:val="nl-BE"/>
        </w:rPr>
        <w:t xml:space="preserve"> ; </w:t>
      </w:r>
      <w:r w:rsidRPr="00C53CC9">
        <w:rPr>
          <w:smallCaps/>
          <w:lang w:val="nl-BE"/>
        </w:rPr>
        <w:t>P. Cambie</w:t>
      </w:r>
      <w:r>
        <w:rPr>
          <w:lang w:val="nl-BE"/>
        </w:rPr>
        <w:t xml:space="preserve">, </w:t>
      </w:r>
      <w:r>
        <w:rPr>
          <w:i/>
          <w:lang w:val="nl-BE"/>
        </w:rPr>
        <w:t>Onrechtmatige bedingen</w:t>
      </w:r>
      <w:r>
        <w:rPr>
          <w:lang w:val="nl-BE"/>
        </w:rPr>
        <w:t>, Brussel, Larcier, 2009, p. 252, note 1158.</w:t>
      </w:r>
    </w:p>
  </w:footnote>
  <w:footnote w:id="25">
    <w:p w:rsidR="009D2186" w:rsidRPr="00525BB2" w:rsidRDefault="009D2186">
      <w:pPr>
        <w:pStyle w:val="Notedebasdepage"/>
        <w:rPr>
          <w:lang w:val="fr-BE"/>
        </w:rPr>
      </w:pPr>
      <w:r>
        <w:rPr>
          <w:rStyle w:val="Appelnotedebasdep"/>
        </w:rPr>
        <w:footnoteRef/>
      </w:r>
      <w:r w:rsidRPr="00525BB2">
        <w:rPr>
          <w:lang w:val="fr-BE"/>
        </w:rPr>
        <w:t xml:space="preserve"> </w:t>
      </w:r>
      <w:r>
        <w:rPr>
          <w:i/>
          <w:lang w:val="fr-BE"/>
        </w:rPr>
        <w:t xml:space="preserve">Cf. </w:t>
      </w:r>
      <w:r>
        <w:rPr>
          <w:lang w:val="fr-BE"/>
        </w:rPr>
        <w:t>art. I.1, 6°, du CDE.</w:t>
      </w:r>
    </w:p>
  </w:footnote>
  <w:footnote w:id="26">
    <w:p w:rsidR="009D2186" w:rsidRPr="0097483B" w:rsidRDefault="009D2186">
      <w:pPr>
        <w:pStyle w:val="Notedebasdepage"/>
        <w:rPr>
          <w:lang w:val="fr-BE"/>
        </w:rPr>
      </w:pPr>
      <w:r>
        <w:rPr>
          <w:rStyle w:val="Appelnotedebasdep"/>
        </w:rPr>
        <w:footnoteRef/>
      </w:r>
      <w:r w:rsidRPr="0097483B">
        <w:rPr>
          <w:lang w:val="fr-BE"/>
        </w:rPr>
        <w:t xml:space="preserve"> </w:t>
      </w:r>
      <w:r w:rsidRPr="0044600F">
        <w:rPr>
          <w:smallCaps/>
          <w:lang w:val="fr-BE"/>
        </w:rPr>
        <w:t>M. Gouverneur</w:t>
      </w:r>
      <w:r>
        <w:rPr>
          <w:lang w:val="fr-BE"/>
        </w:rPr>
        <w:t>,</w:t>
      </w:r>
      <w:r w:rsidRPr="0044600F">
        <w:rPr>
          <w:lang w:val="fr-BE"/>
        </w:rPr>
        <w:t xml:space="preserve"> </w:t>
      </w:r>
      <w:r>
        <w:rPr>
          <w:lang w:val="fr-BE"/>
        </w:rPr>
        <w:t>« </w:t>
      </w:r>
      <w:r w:rsidRPr="0044600F">
        <w:rPr>
          <w:lang w:val="fr-BE"/>
        </w:rPr>
        <w:t>Les clauses abusives dans les contrats conclus entre les entreprises ou les personnes exerçant une profession libérale et les consommateurs (Volume 2)</w:t>
      </w:r>
      <w:r>
        <w:rPr>
          <w:lang w:val="fr-BE"/>
        </w:rPr>
        <w:t xml:space="preserve"> », </w:t>
      </w:r>
      <w:r w:rsidRPr="0044600F">
        <w:rPr>
          <w:i/>
          <w:lang w:val="fr-BE"/>
        </w:rPr>
        <w:t>Guide juridique de l'entreprise - Traité théorique et pratique</w:t>
      </w:r>
      <w:r>
        <w:rPr>
          <w:lang w:val="fr-BE"/>
        </w:rPr>
        <w:t>, 2017</w:t>
      </w:r>
      <w:r w:rsidRPr="0044600F">
        <w:rPr>
          <w:lang w:val="fr-BE"/>
        </w:rPr>
        <w:t>,</w:t>
      </w:r>
      <w:r>
        <w:rPr>
          <w:lang w:val="fr-BE"/>
        </w:rPr>
        <w:t xml:space="preserve"> pp. 47-48, n° 760.</w:t>
      </w:r>
    </w:p>
  </w:footnote>
  <w:footnote w:id="27">
    <w:p w:rsidR="009D2186" w:rsidRPr="00080B39" w:rsidRDefault="009D2186" w:rsidP="00080B39">
      <w:pPr>
        <w:pStyle w:val="Notedebasdepage"/>
        <w:jc w:val="both"/>
        <w:rPr>
          <w:lang w:val="fr-BE"/>
        </w:rPr>
      </w:pPr>
      <w:r>
        <w:rPr>
          <w:rStyle w:val="Appelnotedebasdep"/>
        </w:rPr>
        <w:footnoteRef/>
      </w:r>
      <w:r w:rsidRPr="00080B39">
        <w:rPr>
          <w:lang w:val="fr-BE"/>
        </w:rPr>
        <w:t xml:space="preserve"> </w:t>
      </w:r>
      <w:r w:rsidRPr="00413925">
        <w:rPr>
          <w:smallCaps/>
          <w:lang w:val="fr-BE"/>
        </w:rPr>
        <w:t>M. Gouverneur</w:t>
      </w:r>
      <w:r>
        <w:rPr>
          <w:lang w:val="fr-BE"/>
        </w:rPr>
        <w:t xml:space="preserve">, </w:t>
      </w:r>
      <w:r w:rsidRPr="00413925">
        <w:rPr>
          <w:i/>
          <w:lang w:val="fr-BE"/>
        </w:rPr>
        <w:t>Les clauses</w:t>
      </w:r>
      <w:r>
        <w:rPr>
          <w:i/>
          <w:lang w:val="fr-BE"/>
        </w:rPr>
        <w:t xml:space="preserve"> abusives …, op. </w:t>
      </w:r>
      <w:proofErr w:type="spellStart"/>
      <w:r>
        <w:rPr>
          <w:i/>
          <w:lang w:val="fr-BE"/>
        </w:rPr>
        <w:t>cit</w:t>
      </w:r>
      <w:proofErr w:type="spellEnd"/>
      <w:r>
        <w:rPr>
          <w:i/>
          <w:lang w:val="fr-BE"/>
        </w:rPr>
        <w:t xml:space="preserve">., </w:t>
      </w:r>
      <w:r>
        <w:rPr>
          <w:lang w:val="fr-BE"/>
        </w:rPr>
        <w:t>2018, pp. 118 à 123. Sur les clauses d’</w:t>
      </w:r>
      <w:proofErr w:type="spellStart"/>
      <w:r>
        <w:rPr>
          <w:i/>
          <w:lang w:val="fr-BE"/>
        </w:rPr>
        <w:t>anticipatory</w:t>
      </w:r>
      <w:proofErr w:type="spellEnd"/>
      <w:r>
        <w:rPr>
          <w:i/>
          <w:lang w:val="fr-BE"/>
        </w:rPr>
        <w:t xml:space="preserve"> </w:t>
      </w:r>
      <w:proofErr w:type="spellStart"/>
      <w:r>
        <w:rPr>
          <w:i/>
          <w:lang w:val="fr-BE"/>
        </w:rPr>
        <w:t>breach</w:t>
      </w:r>
      <w:proofErr w:type="spellEnd"/>
      <w:r>
        <w:rPr>
          <w:i/>
          <w:lang w:val="fr-BE"/>
        </w:rPr>
        <w:t xml:space="preserve"> </w:t>
      </w:r>
      <w:r>
        <w:rPr>
          <w:lang w:val="fr-BE"/>
        </w:rPr>
        <w:t xml:space="preserve">(inexécution anticipée), </w:t>
      </w:r>
      <w:proofErr w:type="spellStart"/>
      <w:r>
        <w:rPr>
          <w:lang w:val="fr-BE"/>
        </w:rPr>
        <w:t>voy</w:t>
      </w:r>
      <w:proofErr w:type="spellEnd"/>
      <w:r>
        <w:rPr>
          <w:lang w:val="fr-BE"/>
        </w:rPr>
        <w:t>.</w:t>
      </w:r>
      <w:r w:rsidRPr="00080B39">
        <w:rPr>
          <w:smallCaps/>
          <w:lang w:val="fr-BE"/>
        </w:rPr>
        <w:t xml:space="preserve"> </w:t>
      </w:r>
      <w:r w:rsidRPr="00413925">
        <w:rPr>
          <w:smallCaps/>
          <w:lang w:val="fr-BE"/>
        </w:rPr>
        <w:t>M. Gouverneur</w:t>
      </w:r>
      <w:r>
        <w:rPr>
          <w:smallCaps/>
          <w:lang w:val="fr-BE"/>
        </w:rPr>
        <w:t xml:space="preserve">, </w:t>
      </w:r>
      <w:r>
        <w:rPr>
          <w:i/>
          <w:lang w:val="fr-BE"/>
        </w:rPr>
        <w:t>ibidem</w:t>
      </w:r>
      <w:r>
        <w:rPr>
          <w:lang w:val="fr-BE"/>
        </w:rPr>
        <w:t>, pp. 121-122.</w:t>
      </w:r>
    </w:p>
  </w:footnote>
  <w:footnote w:id="28">
    <w:p w:rsidR="009D2186" w:rsidRPr="006226FD" w:rsidRDefault="009D2186" w:rsidP="00080B39">
      <w:pPr>
        <w:pStyle w:val="Notedebasdepage"/>
        <w:jc w:val="both"/>
        <w:rPr>
          <w:lang w:val="fr-BE"/>
        </w:rPr>
      </w:pPr>
      <w:r>
        <w:rPr>
          <w:rStyle w:val="Appelnotedebasdep"/>
        </w:rPr>
        <w:footnoteRef/>
      </w:r>
      <w:r w:rsidRPr="006226FD">
        <w:rPr>
          <w:lang w:val="fr-BE"/>
        </w:rPr>
        <w:t xml:space="preserve"> </w:t>
      </w:r>
      <w:r>
        <w:rPr>
          <w:lang w:val="fr-BE"/>
        </w:rPr>
        <w:t xml:space="preserve">Sur la possibilité de résilier unilatéralement un contrat à durée indéterminée, moyennant le respect d’un préavis raisonnable, </w:t>
      </w:r>
      <w:proofErr w:type="spellStart"/>
      <w:r>
        <w:rPr>
          <w:lang w:val="fr-BE"/>
        </w:rPr>
        <w:t>voy</w:t>
      </w:r>
      <w:proofErr w:type="spellEnd"/>
      <w:r>
        <w:rPr>
          <w:lang w:val="fr-BE"/>
        </w:rPr>
        <w:t xml:space="preserve">. </w:t>
      </w:r>
      <w:proofErr w:type="spellStart"/>
      <w:r>
        <w:rPr>
          <w:lang w:val="fr-BE"/>
        </w:rPr>
        <w:t>ég</w:t>
      </w:r>
      <w:proofErr w:type="spellEnd"/>
      <w:r>
        <w:rPr>
          <w:lang w:val="fr-BE"/>
        </w:rPr>
        <w:t>. le commentaire de l’article VI.83, 18°, du CDE.</w:t>
      </w:r>
    </w:p>
  </w:footnote>
  <w:footnote w:id="29">
    <w:p w:rsidR="009D2186" w:rsidRPr="000633FF" w:rsidRDefault="009D2186" w:rsidP="007F6B50">
      <w:pPr>
        <w:pStyle w:val="Notedebasdepage"/>
        <w:jc w:val="both"/>
        <w:rPr>
          <w:lang w:val="fr-BE"/>
        </w:rPr>
      </w:pPr>
      <w:r>
        <w:rPr>
          <w:rStyle w:val="Appelnotedebasdep"/>
        </w:rPr>
        <w:footnoteRef/>
      </w:r>
      <w:r w:rsidRPr="00316C6F">
        <w:rPr>
          <w:lang w:val="fr-BE"/>
        </w:rPr>
        <w:t xml:space="preserve"> </w:t>
      </w:r>
      <w:r>
        <w:rPr>
          <w:lang w:val="fr-BE"/>
        </w:rPr>
        <w:t xml:space="preserve">En ce qui concerne l’application de cette disposition en matière de vente immobilière, </w:t>
      </w:r>
      <w:proofErr w:type="spellStart"/>
      <w:r>
        <w:rPr>
          <w:lang w:val="fr-BE"/>
        </w:rPr>
        <w:t>voy</w:t>
      </w:r>
      <w:proofErr w:type="spellEnd"/>
      <w:r>
        <w:rPr>
          <w:lang w:val="fr-BE"/>
        </w:rPr>
        <w:t xml:space="preserve">. </w:t>
      </w:r>
      <w:r w:rsidRPr="0079510A">
        <w:rPr>
          <w:lang w:val="fr-BE"/>
        </w:rPr>
        <w:t xml:space="preserve">P.-Y., </w:t>
      </w:r>
      <w:proofErr w:type="spellStart"/>
      <w:r w:rsidRPr="0079510A">
        <w:rPr>
          <w:smallCaps/>
          <w:lang w:val="fr-BE"/>
        </w:rPr>
        <w:t>Erneux</w:t>
      </w:r>
      <w:proofErr w:type="spellEnd"/>
      <w:r w:rsidRPr="0079510A">
        <w:rPr>
          <w:lang w:val="fr-BE"/>
        </w:rPr>
        <w:t xml:space="preserve">, </w:t>
      </w:r>
      <w:r w:rsidRPr="00B23550">
        <w:rPr>
          <w:i/>
          <w:lang w:val="fr-BE"/>
        </w:rPr>
        <w:t xml:space="preserve">op. </w:t>
      </w:r>
      <w:proofErr w:type="spellStart"/>
      <w:r w:rsidRPr="00B23550">
        <w:rPr>
          <w:i/>
          <w:lang w:val="fr-BE"/>
        </w:rPr>
        <w:t>cit</w:t>
      </w:r>
      <w:proofErr w:type="spellEnd"/>
      <w:r>
        <w:rPr>
          <w:lang w:val="fr-BE"/>
        </w:rPr>
        <w:t xml:space="preserve">., </w:t>
      </w:r>
      <w:r w:rsidRPr="0079510A">
        <w:rPr>
          <w:i/>
          <w:iCs/>
          <w:lang w:val="fr-BE"/>
        </w:rPr>
        <w:t>La vente immobilière.</w:t>
      </w:r>
      <w:r>
        <w:rPr>
          <w:i/>
          <w:iCs/>
          <w:lang w:val="fr-BE"/>
        </w:rPr>
        <w:t xml:space="preserve"> </w:t>
      </w:r>
      <w:r w:rsidRPr="000633FF">
        <w:rPr>
          <w:i/>
          <w:iCs/>
          <w:lang w:val="fr-BE"/>
        </w:rPr>
        <w:t>Aspects civils, administratifs et fiscaux</w:t>
      </w:r>
      <w:r w:rsidRPr="000633FF">
        <w:rPr>
          <w:lang w:val="fr-BE"/>
        </w:rPr>
        <w:t xml:space="preserve">, 2010, p. 325, n° 80 ; </w:t>
      </w:r>
      <w:r w:rsidRPr="000633FF">
        <w:rPr>
          <w:smallCaps/>
          <w:lang w:val="fr-BE"/>
        </w:rPr>
        <w:t xml:space="preserve">J. </w:t>
      </w:r>
      <w:proofErr w:type="spellStart"/>
      <w:r w:rsidRPr="000633FF">
        <w:rPr>
          <w:smallCaps/>
          <w:lang w:val="fr-BE"/>
        </w:rPr>
        <w:t>Bael</w:t>
      </w:r>
      <w:proofErr w:type="spellEnd"/>
      <w:r w:rsidRPr="000633FF">
        <w:rPr>
          <w:lang w:val="fr-BE"/>
        </w:rPr>
        <w:t xml:space="preserve">, </w:t>
      </w:r>
      <w:r w:rsidRPr="000633FF">
        <w:rPr>
          <w:i/>
          <w:lang w:val="fr-BE"/>
        </w:rPr>
        <w:t xml:space="preserve">op. </w:t>
      </w:r>
      <w:proofErr w:type="spellStart"/>
      <w:r w:rsidRPr="000633FF">
        <w:rPr>
          <w:i/>
          <w:lang w:val="fr-BE"/>
        </w:rPr>
        <w:t>cit</w:t>
      </w:r>
      <w:proofErr w:type="spellEnd"/>
      <w:r w:rsidRPr="000633FF">
        <w:rPr>
          <w:i/>
          <w:lang w:val="fr-BE"/>
        </w:rPr>
        <w:t>.</w:t>
      </w:r>
      <w:r w:rsidRPr="000633FF">
        <w:rPr>
          <w:lang w:val="fr-BE"/>
        </w:rPr>
        <w:t xml:space="preserve">, </w:t>
      </w:r>
      <w:proofErr w:type="spellStart"/>
      <w:r w:rsidRPr="000633FF">
        <w:rPr>
          <w:i/>
          <w:lang w:val="fr-BE"/>
        </w:rPr>
        <w:t>Rechtskroniek</w:t>
      </w:r>
      <w:proofErr w:type="spellEnd"/>
      <w:r w:rsidRPr="000633FF">
        <w:rPr>
          <w:i/>
          <w:lang w:val="fr-BE"/>
        </w:rPr>
        <w:t xml:space="preserve"> </w:t>
      </w:r>
      <w:proofErr w:type="spellStart"/>
      <w:r w:rsidRPr="000633FF">
        <w:rPr>
          <w:i/>
          <w:lang w:val="fr-BE"/>
        </w:rPr>
        <w:t>voor</w:t>
      </w:r>
      <w:proofErr w:type="spellEnd"/>
      <w:r w:rsidRPr="000633FF">
        <w:rPr>
          <w:i/>
          <w:lang w:val="fr-BE"/>
        </w:rPr>
        <w:t xml:space="preserve"> het </w:t>
      </w:r>
      <w:proofErr w:type="spellStart"/>
      <w:r w:rsidRPr="000633FF">
        <w:rPr>
          <w:i/>
          <w:lang w:val="fr-BE"/>
        </w:rPr>
        <w:t>Notariaat</w:t>
      </w:r>
      <w:proofErr w:type="spellEnd"/>
      <w:r w:rsidRPr="000633FF">
        <w:rPr>
          <w:i/>
          <w:lang w:val="fr-BE"/>
        </w:rPr>
        <w:t xml:space="preserve">, </w:t>
      </w:r>
      <w:proofErr w:type="spellStart"/>
      <w:r w:rsidRPr="000633FF">
        <w:rPr>
          <w:lang w:val="fr-BE"/>
        </w:rPr>
        <w:t>Deel</w:t>
      </w:r>
      <w:proofErr w:type="spellEnd"/>
      <w:r w:rsidRPr="000633FF">
        <w:rPr>
          <w:lang w:val="fr-BE"/>
        </w:rPr>
        <w:t xml:space="preserve"> 25, 2014, p. 204, n° 165.</w:t>
      </w:r>
    </w:p>
  </w:footnote>
  <w:footnote w:id="30">
    <w:p w:rsidR="009D2186" w:rsidRPr="007F6B50" w:rsidRDefault="009D2186" w:rsidP="007F6B50">
      <w:pPr>
        <w:pStyle w:val="Notedebasdepage"/>
        <w:jc w:val="both"/>
        <w:rPr>
          <w:lang w:val="fr-BE"/>
        </w:rPr>
      </w:pPr>
      <w:r>
        <w:rPr>
          <w:rStyle w:val="Appelnotedebasdep"/>
        </w:rPr>
        <w:footnoteRef/>
      </w:r>
      <w:r w:rsidRPr="007F6B50">
        <w:rPr>
          <w:lang w:val="fr-BE"/>
        </w:rPr>
        <w:t xml:space="preserve"> </w:t>
      </w:r>
      <w:r>
        <w:rPr>
          <w:lang w:val="fr-BE"/>
        </w:rPr>
        <w:t xml:space="preserve">Sur la notion de faute lourde, </w:t>
      </w:r>
      <w:proofErr w:type="spellStart"/>
      <w:r>
        <w:rPr>
          <w:lang w:val="fr-BE"/>
        </w:rPr>
        <w:t>voy</w:t>
      </w:r>
      <w:proofErr w:type="spellEnd"/>
      <w:r>
        <w:rPr>
          <w:lang w:val="fr-BE"/>
        </w:rPr>
        <w:t xml:space="preserve">. </w:t>
      </w:r>
      <w:r w:rsidRPr="007F6B50">
        <w:rPr>
          <w:smallCaps/>
          <w:lang w:val="fr-BE"/>
        </w:rPr>
        <w:t xml:space="preserve">P. </w:t>
      </w:r>
      <w:proofErr w:type="spellStart"/>
      <w:r w:rsidRPr="007F6B50">
        <w:rPr>
          <w:smallCaps/>
          <w:lang w:val="fr-BE"/>
        </w:rPr>
        <w:t>Wéry</w:t>
      </w:r>
      <w:proofErr w:type="spellEnd"/>
      <w:r>
        <w:rPr>
          <w:lang w:val="fr-BE"/>
        </w:rPr>
        <w:t xml:space="preserve">, </w:t>
      </w:r>
      <w:r w:rsidRPr="001B17D3">
        <w:rPr>
          <w:i/>
          <w:lang w:val="fr-BE"/>
        </w:rPr>
        <w:t xml:space="preserve">Droit des obligations, </w:t>
      </w:r>
      <w:r w:rsidRPr="001B17D3">
        <w:rPr>
          <w:lang w:val="fr-BE"/>
        </w:rPr>
        <w:t xml:space="preserve">vol. 1 : </w:t>
      </w:r>
      <w:r w:rsidRPr="001B17D3">
        <w:rPr>
          <w:i/>
          <w:lang w:val="fr-BE"/>
        </w:rPr>
        <w:t>Théorie générale du contrat</w:t>
      </w:r>
      <w:r w:rsidRPr="001B17D3">
        <w:rPr>
          <w:lang w:val="fr-BE"/>
        </w:rPr>
        <w:t>, 2</w:t>
      </w:r>
      <w:r w:rsidRPr="001B17D3">
        <w:rPr>
          <w:vertAlign w:val="superscript"/>
          <w:lang w:val="fr-BE"/>
        </w:rPr>
        <w:t>e</w:t>
      </w:r>
      <w:r w:rsidRPr="001B17D3">
        <w:rPr>
          <w:lang w:val="fr-BE"/>
        </w:rPr>
        <w:t xml:space="preserve"> éd., Bruxelles, </w:t>
      </w:r>
      <w:proofErr w:type="spellStart"/>
      <w:r w:rsidRPr="001B17D3">
        <w:rPr>
          <w:lang w:val="fr-BE"/>
        </w:rPr>
        <w:t>Larcier</w:t>
      </w:r>
      <w:proofErr w:type="spellEnd"/>
      <w:r w:rsidRPr="001B17D3">
        <w:rPr>
          <w:lang w:val="fr-BE"/>
        </w:rPr>
        <w:t xml:space="preserve">, 2011, </w:t>
      </w:r>
      <w:r>
        <w:rPr>
          <w:lang w:val="fr-BE"/>
        </w:rPr>
        <w:t>p. 517, n° 541-1</w:t>
      </w:r>
      <w:r w:rsidRPr="001B17D3">
        <w:rPr>
          <w:lang w:val="fr-BE"/>
        </w:rPr>
        <w:t xml:space="preserve">(ci-après : </w:t>
      </w:r>
      <w:r w:rsidRPr="001B17D3">
        <w:rPr>
          <w:smallCaps/>
          <w:lang w:val="fr-BE"/>
        </w:rPr>
        <w:t xml:space="preserve">P. </w:t>
      </w:r>
      <w:proofErr w:type="spellStart"/>
      <w:r w:rsidRPr="001B17D3">
        <w:rPr>
          <w:smallCaps/>
          <w:lang w:val="fr-BE"/>
        </w:rPr>
        <w:t>Wéry</w:t>
      </w:r>
      <w:proofErr w:type="spellEnd"/>
      <w:r w:rsidRPr="001B17D3">
        <w:rPr>
          <w:lang w:val="fr-BE"/>
        </w:rPr>
        <w:t xml:space="preserve">, </w:t>
      </w:r>
      <w:r w:rsidRPr="001B17D3">
        <w:rPr>
          <w:i/>
          <w:lang w:val="fr-BE"/>
        </w:rPr>
        <w:t xml:space="preserve">op. </w:t>
      </w:r>
      <w:proofErr w:type="spellStart"/>
      <w:r w:rsidRPr="001B17D3">
        <w:rPr>
          <w:i/>
          <w:lang w:val="fr-BE"/>
        </w:rPr>
        <w:t>cit</w:t>
      </w:r>
      <w:proofErr w:type="spellEnd"/>
      <w:r w:rsidRPr="001B17D3">
        <w:rPr>
          <w:i/>
          <w:lang w:val="fr-BE"/>
        </w:rPr>
        <w:t>.</w:t>
      </w:r>
      <w:r w:rsidRPr="001B17D3">
        <w:rPr>
          <w:lang w:val="fr-BE"/>
        </w:rPr>
        <w:t>, 2011)</w:t>
      </w:r>
      <w:r>
        <w:rPr>
          <w:lang w:val="fr-BE"/>
        </w:rPr>
        <w:t xml:space="preserve"> ; </w:t>
      </w:r>
      <w:r w:rsidRPr="00305189">
        <w:rPr>
          <w:lang w:val="fr-BE"/>
        </w:rPr>
        <w:t xml:space="preserve">P. </w:t>
      </w:r>
      <w:r w:rsidRPr="00305189">
        <w:rPr>
          <w:smallCaps/>
          <w:lang w:val="fr-BE"/>
        </w:rPr>
        <w:t xml:space="preserve">Van </w:t>
      </w:r>
      <w:proofErr w:type="spellStart"/>
      <w:r w:rsidRPr="00305189">
        <w:rPr>
          <w:smallCaps/>
          <w:lang w:val="fr-BE"/>
        </w:rPr>
        <w:t>Ommeslaghe</w:t>
      </w:r>
      <w:proofErr w:type="spellEnd"/>
      <w:r w:rsidRPr="00305189">
        <w:rPr>
          <w:lang w:val="fr-BE"/>
        </w:rPr>
        <w:t>,</w:t>
      </w:r>
      <w:r w:rsidRPr="00305189">
        <w:rPr>
          <w:i/>
          <w:lang w:val="fr-BE"/>
        </w:rPr>
        <w:t xml:space="preserve"> Traité de droit civil belge</w:t>
      </w:r>
      <w:r w:rsidRPr="00305189">
        <w:rPr>
          <w:lang w:val="fr-BE"/>
        </w:rPr>
        <w:t xml:space="preserve">, t. II, </w:t>
      </w:r>
      <w:r w:rsidRPr="00305189">
        <w:rPr>
          <w:i/>
          <w:lang w:val="fr-BE"/>
        </w:rPr>
        <w:t>Les obligations</w:t>
      </w:r>
      <w:r>
        <w:rPr>
          <w:lang w:val="fr-BE"/>
        </w:rPr>
        <w:t>, vol. 2</w:t>
      </w:r>
      <w:r w:rsidRPr="00305189">
        <w:rPr>
          <w:lang w:val="fr-BE"/>
        </w:rPr>
        <w:t xml:space="preserve">, coll. « De Page », Bruxelles, </w:t>
      </w:r>
      <w:proofErr w:type="spellStart"/>
      <w:r w:rsidRPr="00305189">
        <w:rPr>
          <w:lang w:val="fr-BE"/>
        </w:rPr>
        <w:t>Bruylant</w:t>
      </w:r>
      <w:proofErr w:type="spellEnd"/>
      <w:r w:rsidRPr="00305189">
        <w:rPr>
          <w:lang w:val="fr-BE"/>
        </w:rPr>
        <w:t>, 2013, p</w:t>
      </w:r>
      <w:r>
        <w:rPr>
          <w:lang w:val="fr-BE"/>
        </w:rPr>
        <w:t>p</w:t>
      </w:r>
      <w:r w:rsidRPr="00305189">
        <w:rPr>
          <w:lang w:val="fr-BE"/>
        </w:rPr>
        <w:t xml:space="preserve">. </w:t>
      </w:r>
      <w:r>
        <w:rPr>
          <w:lang w:val="fr-BE"/>
        </w:rPr>
        <w:t xml:space="preserve">1229-1231, n° 836. En l’espèce, la faute lourde nous parait désigner « l’imprudence grossière » ou la « négligence crasse », soit la faute d’une certaine gravité. </w:t>
      </w:r>
    </w:p>
  </w:footnote>
  <w:footnote w:id="31">
    <w:p w:rsidR="009D2186" w:rsidRPr="001D0269" w:rsidRDefault="009D2186" w:rsidP="00B31AEC">
      <w:pPr>
        <w:pStyle w:val="Notedebasdepage"/>
        <w:jc w:val="both"/>
        <w:rPr>
          <w:lang w:val="nl-BE"/>
        </w:rPr>
      </w:pPr>
      <w:r>
        <w:rPr>
          <w:rStyle w:val="Appelnotedebasdep"/>
        </w:rPr>
        <w:footnoteRef/>
      </w:r>
      <w:r w:rsidRPr="007C0D3E">
        <w:rPr>
          <w:lang w:val="fr-BE"/>
        </w:rPr>
        <w:t xml:space="preserve"> </w:t>
      </w:r>
      <w:r w:rsidRPr="008815C0">
        <w:rPr>
          <w:lang w:val="fr-BE"/>
        </w:rPr>
        <w:t xml:space="preserve">La jurisprudence </w:t>
      </w:r>
      <w:r>
        <w:rPr>
          <w:lang w:val="fr-BE"/>
        </w:rPr>
        <w:t>utilise</w:t>
      </w:r>
      <w:r w:rsidRPr="008815C0">
        <w:rPr>
          <w:lang w:val="fr-BE"/>
        </w:rPr>
        <w:t xml:space="preserve"> une terminologie variée pour exprimer ce principe. Ainsi sont interdites les clauses qui </w:t>
      </w:r>
      <w:r>
        <w:rPr>
          <w:lang w:val="fr-BE"/>
        </w:rPr>
        <w:t>« </w:t>
      </w:r>
      <w:r w:rsidRPr="008815C0">
        <w:rPr>
          <w:i/>
          <w:lang w:val="fr-BE"/>
        </w:rPr>
        <w:t>portent atteinte à l’essence du contrat</w:t>
      </w:r>
      <w:r>
        <w:rPr>
          <w:lang w:val="fr-BE"/>
        </w:rPr>
        <w:t> », les clauses qui « </w:t>
      </w:r>
      <w:r>
        <w:rPr>
          <w:i/>
          <w:lang w:val="fr-BE"/>
        </w:rPr>
        <w:t>vident l’obligation de son contenu</w:t>
      </w:r>
      <w:r>
        <w:rPr>
          <w:lang w:val="fr-BE"/>
        </w:rPr>
        <w:t>» ou « </w:t>
      </w:r>
      <w:r w:rsidRPr="00227243">
        <w:rPr>
          <w:i/>
          <w:lang w:val="fr-BE"/>
        </w:rPr>
        <w:t>privent le contrat de toute signification </w:t>
      </w:r>
      <w:r>
        <w:rPr>
          <w:lang w:val="fr-BE"/>
        </w:rPr>
        <w:t xml:space="preserve">». </w:t>
      </w:r>
      <w:r w:rsidRPr="00E21507">
        <w:rPr>
          <w:lang w:val="nl-BE"/>
        </w:rPr>
        <w:t xml:space="preserve">Voy. not. </w:t>
      </w:r>
      <w:r w:rsidRPr="001D0269">
        <w:rPr>
          <w:smallCaps/>
          <w:lang w:val="nl-BE"/>
        </w:rPr>
        <w:t>P. Wéry</w:t>
      </w:r>
      <w:r w:rsidRPr="001D0269">
        <w:rPr>
          <w:lang w:val="nl-BE"/>
        </w:rPr>
        <w:t xml:space="preserve">, </w:t>
      </w:r>
      <w:r w:rsidRPr="001D0269">
        <w:rPr>
          <w:i/>
          <w:lang w:val="nl-BE"/>
        </w:rPr>
        <w:t xml:space="preserve">op. </w:t>
      </w:r>
      <w:r>
        <w:rPr>
          <w:i/>
          <w:lang w:val="nl-BE"/>
        </w:rPr>
        <w:t xml:space="preserve">cit., </w:t>
      </w:r>
      <w:r w:rsidRPr="001D0269">
        <w:rPr>
          <w:lang w:val="nl-BE"/>
        </w:rPr>
        <w:t xml:space="preserve">2011, p. 743, n° 768 ; </w:t>
      </w:r>
      <w:r w:rsidRPr="001D0269">
        <w:rPr>
          <w:smallCaps/>
          <w:lang w:val="nl-BE"/>
        </w:rPr>
        <w:t>A. Van Oevelen</w:t>
      </w:r>
      <w:r w:rsidRPr="001D0269">
        <w:rPr>
          <w:lang w:val="nl-BE"/>
        </w:rPr>
        <w:t xml:space="preserve">, « Exoneratiebedingen en vrijwaringsbedingen », </w:t>
      </w:r>
      <w:r w:rsidRPr="001D0269">
        <w:rPr>
          <w:i/>
          <w:lang w:val="nl-BE"/>
        </w:rPr>
        <w:t xml:space="preserve">Actuele ontwikkelingen inzake verbintenissenrecht, </w:t>
      </w:r>
      <w:r w:rsidRPr="001D0269">
        <w:rPr>
          <w:lang w:val="nl-BE"/>
        </w:rPr>
        <w:t>Antwerpen, Intersentia, 2009, pp. 9 et s. (et les références citées).</w:t>
      </w:r>
    </w:p>
  </w:footnote>
  <w:footnote w:id="32">
    <w:p w:rsidR="009D2186" w:rsidRPr="004A327B" w:rsidRDefault="009D2186" w:rsidP="00732D61">
      <w:pPr>
        <w:pStyle w:val="Notedebasdepage"/>
        <w:jc w:val="both"/>
        <w:rPr>
          <w:lang w:val="fr-BE"/>
        </w:rPr>
      </w:pPr>
      <w:r w:rsidRPr="00525BB2">
        <w:rPr>
          <w:rStyle w:val="Appelnotedebasdep"/>
          <w:lang w:val="fr-BE"/>
        </w:rPr>
        <w:footnoteRef/>
      </w:r>
      <w:r w:rsidRPr="0073582E">
        <w:rPr>
          <w:lang w:val="nl-BE"/>
        </w:rPr>
        <w:t xml:space="preserve"> En ce sens : </w:t>
      </w:r>
      <w:r w:rsidRPr="005D78B8">
        <w:rPr>
          <w:smallCaps/>
          <w:lang w:val="nl-BE"/>
        </w:rPr>
        <w:t>R. Steennot</w:t>
      </w:r>
      <w:r w:rsidRPr="005D78B8">
        <w:rPr>
          <w:lang w:val="nl-BE"/>
        </w:rPr>
        <w:t xml:space="preserve">, « Commentaar bij art. VI.91/5 WER », </w:t>
      </w:r>
      <w:r w:rsidRPr="005D78B8">
        <w:rPr>
          <w:i/>
          <w:lang w:val="nl-BE"/>
        </w:rPr>
        <w:t>O.H.R.A.</w:t>
      </w:r>
      <w:r w:rsidRPr="005D78B8">
        <w:rPr>
          <w:lang w:val="nl-BE"/>
        </w:rPr>
        <w:t xml:space="preserve">, 2019, p. </w:t>
      </w:r>
      <w:r>
        <w:rPr>
          <w:lang w:val="nl-BE"/>
        </w:rPr>
        <w:t xml:space="preserve">13, n° 21 ; </w:t>
      </w:r>
      <w:r w:rsidRPr="0073582E">
        <w:rPr>
          <w:smallCaps/>
          <w:lang w:val="nl-BE"/>
        </w:rPr>
        <w:t>R. Steennot</w:t>
      </w:r>
      <w:r w:rsidRPr="0073582E">
        <w:rPr>
          <w:lang w:val="nl-BE"/>
        </w:rPr>
        <w:t xml:space="preserve">, « Commentaar bij art. VI.83, 13° WER », </w:t>
      </w:r>
      <w:r w:rsidRPr="008A424A">
        <w:rPr>
          <w:i/>
          <w:lang w:val="nl-BE"/>
        </w:rPr>
        <w:t xml:space="preserve">O.H.R.A., </w:t>
      </w:r>
      <w:r w:rsidRPr="0073582E">
        <w:rPr>
          <w:lang w:val="nl-BE"/>
        </w:rPr>
        <w:t xml:space="preserve">2017, p. 4, n° 2 ; </w:t>
      </w:r>
      <w:r w:rsidRPr="00052334">
        <w:rPr>
          <w:smallCaps/>
          <w:lang w:val="nl-BE"/>
        </w:rPr>
        <w:t>P. Cambie</w:t>
      </w:r>
      <w:r w:rsidRPr="00052334">
        <w:rPr>
          <w:lang w:val="nl-BE"/>
        </w:rPr>
        <w:t>,</w:t>
      </w:r>
      <w:r w:rsidRPr="00052334">
        <w:rPr>
          <w:i/>
          <w:lang w:val="nl-BE"/>
        </w:rPr>
        <w:t xml:space="preserve"> Onrechtmatige bedingen</w:t>
      </w:r>
      <w:r w:rsidRPr="00FA5A45">
        <w:rPr>
          <w:lang w:val="nl-BE"/>
        </w:rPr>
        <w:t xml:space="preserve">, Brussel, Larcier, 2009, p. 270, n° 335 (ci-après, </w:t>
      </w:r>
      <w:r w:rsidRPr="00FA5A45">
        <w:rPr>
          <w:smallCaps/>
          <w:lang w:val="nl-BE"/>
        </w:rPr>
        <w:t>P. Cambie</w:t>
      </w:r>
      <w:r w:rsidRPr="00FA5A45">
        <w:rPr>
          <w:lang w:val="nl-BE"/>
        </w:rPr>
        <w:t xml:space="preserve">, </w:t>
      </w:r>
      <w:r w:rsidRPr="00FA5A45">
        <w:rPr>
          <w:i/>
          <w:lang w:val="nl-BE"/>
        </w:rPr>
        <w:t>op. cit</w:t>
      </w:r>
      <w:r w:rsidRPr="00FA5A45">
        <w:rPr>
          <w:lang w:val="nl-BE"/>
        </w:rPr>
        <w:t xml:space="preserve">., 2009) ; </w:t>
      </w:r>
      <w:r w:rsidRPr="0073582E">
        <w:rPr>
          <w:smallCaps/>
          <w:lang w:val="nl-BE"/>
        </w:rPr>
        <w:t>I. Claeys</w:t>
      </w:r>
      <w:r w:rsidRPr="0073582E">
        <w:rPr>
          <w:lang w:val="nl-BE"/>
        </w:rPr>
        <w:t xml:space="preserve"> et </w:t>
      </w:r>
      <w:r w:rsidRPr="0073582E">
        <w:rPr>
          <w:smallCaps/>
          <w:lang w:val="nl-BE"/>
        </w:rPr>
        <w:t>T. Tanghe</w:t>
      </w:r>
      <w:r w:rsidRPr="0073582E">
        <w:rPr>
          <w:lang w:val="nl-BE"/>
        </w:rPr>
        <w:t xml:space="preserve">, </w:t>
      </w:r>
      <w:r w:rsidRPr="0073582E">
        <w:rPr>
          <w:i/>
          <w:lang w:val="nl-BE"/>
        </w:rPr>
        <w:t>op. cit.</w:t>
      </w:r>
      <w:r w:rsidRPr="0073582E">
        <w:rPr>
          <w:lang w:val="nl-BE"/>
        </w:rPr>
        <w:t xml:space="preserve">, </w:t>
      </w:r>
      <w:r w:rsidRPr="0073582E">
        <w:rPr>
          <w:i/>
          <w:lang w:val="nl-BE"/>
        </w:rPr>
        <w:t>R.W.</w:t>
      </w:r>
      <w:r w:rsidRPr="0073582E">
        <w:rPr>
          <w:lang w:val="nl-BE"/>
        </w:rPr>
        <w:t xml:space="preserve">, 2019-2020, p. 341, n° 59 ; </w:t>
      </w:r>
      <w:r w:rsidRPr="0073582E">
        <w:rPr>
          <w:smallCaps/>
          <w:lang w:val="nl-BE"/>
        </w:rPr>
        <w:t>B. Benichou</w:t>
      </w:r>
      <w:r w:rsidRPr="0073582E">
        <w:rPr>
          <w:lang w:val="nl-BE"/>
        </w:rPr>
        <w:t xml:space="preserve">, « Onrechtmatige bedingen en oneerlijke marktpraktijken in B2B-contracten », </w:t>
      </w:r>
      <w:r w:rsidRPr="0073582E">
        <w:rPr>
          <w:i/>
          <w:lang w:val="nl-BE"/>
        </w:rPr>
        <w:t xml:space="preserve">L’entreprise face à ses nouveaux défis / De nieuwe uitdagingen voor de onderneming, </w:t>
      </w:r>
      <w:r w:rsidRPr="0073582E">
        <w:rPr>
          <w:lang w:val="nl-BE"/>
        </w:rPr>
        <w:t>Bruxelles, Larcier, 2019, p. 72</w:t>
      </w:r>
      <w:r>
        <w:rPr>
          <w:lang w:val="nl-BE"/>
        </w:rPr>
        <w:t xml:space="preserve"> ; </w:t>
      </w:r>
      <w:r w:rsidRPr="000A523D">
        <w:rPr>
          <w:smallCaps/>
          <w:lang w:val="nl-BE"/>
        </w:rPr>
        <w:t>D. Philippe</w:t>
      </w:r>
      <w:r w:rsidRPr="000A523D">
        <w:rPr>
          <w:lang w:val="nl-BE"/>
        </w:rPr>
        <w:t xml:space="preserve"> et </w:t>
      </w:r>
      <w:r w:rsidRPr="000A523D">
        <w:rPr>
          <w:smallCaps/>
          <w:lang w:val="nl-BE"/>
        </w:rPr>
        <w:t>G. Sorreaux</w:t>
      </w:r>
      <w:r w:rsidRPr="000A523D">
        <w:rPr>
          <w:lang w:val="nl-BE"/>
        </w:rPr>
        <w:t xml:space="preserve">, </w:t>
      </w:r>
      <w:r w:rsidRPr="000A523D">
        <w:rPr>
          <w:i/>
          <w:lang w:val="nl-BE"/>
        </w:rPr>
        <w:t>op. cit.</w:t>
      </w:r>
      <w:r w:rsidRPr="000A523D">
        <w:rPr>
          <w:lang w:val="nl-BE"/>
        </w:rPr>
        <w:t xml:space="preserve">, </w:t>
      </w:r>
      <w:r w:rsidRPr="000A523D">
        <w:rPr>
          <w:i/>
          <w:lang w:val="nl-BE"/>
        </w:rPr>
        <w:t>D.A.O.R.</w:t>
      </w:r>
      <w:r w:rsidRPr="000A523D">
        <w:rPr>
          <w:lang w:val="nl-BE"/>
        </w:rPr>
        <w:t>, 2019, p. 44.</w:t>
      </w:r>
      <w:r w:rsidRPr="000A523D">
        <w:rPr>
          <w:i/>
          <w:lang w:val="nl-BE"/>
        </w:rPr>
        <w:t xml:space="preserve"> </w:t>
      </w:r>
      <w:r w:rsidRPr="00A944D5">
        <w:rPr>
          <w:i/>
          <w:lang w:val="fr-BE"/>
        </w:rPr>
        <w:t>Contra</w:t>
      </w:r>
      <w:r w:rsidRPr="00A944D5">
        <w:rPr>
          <w:lang w:val="fr-BE"/>
        </w:rPr>
        <w:t xml:space="preserve"> : </w:t>
      </w:r>
      <w:r w:rsidRPr="00A944D5">
        <w:rPr>
          <w:smallCaps/>
          <w:lang w:val="fr-BE"/>
        </w:rPr>
        <w:t xml:space="preserve">P. </w:t>
      </w:r>
      <w:proofErr w:type="spellStart"/>
      <w:r w:rsidRPr="00A944D5">
        <w:rPr>
          <w:smallCaps/>
          <w:lang w:val="fr-BE"/>
        </w:rPr>
        <w:t>Wéry</w:t>
      </w:r>
      <w:proofErr w:type="spellEnd"/>
      <w:r w:rsidRPr="00A944D5">
        <w:rPr>
          <w:lang w:val="fr-BE"/>
        </w:rPr>
        <w:t>,</w:t>
      </w:r>
      <w:r w:rsidRPr="00A944D5">
        <w:rPr>
          <w:i/>
          <w:lang w:val="fr-BE"/>
        </w:rPr>
        <w:t xml:space="preserve"> op. </w:t>
      </w:r>
      <w:proofErr w:type="spellStart"/>
      <w:r w:rsidRPr="00A944D5">
        <w:rPr>
          <w:i/>
          <w:lang w:val="fr-BE"/>
        </w:rPr>
        <w:t>cit</w:t>
      </w:r>
      <w:proofErr w:type="spellEnd"/>
      <w:r w:rsidRPr="00A944D5">
        <w:rPr>
          <w:i/>
          <w:lang w:val="fr-BE"/>
        </w:rPr>
        <w:t>.</w:t>
      </w:r>
      <w:r w:rsidRPr="00A944D5">
        <w:rPr>
          <w:lang w:val="fr-BE"/>
        </w:rPr>
        <w:t>, 2011, p. 746, n° 770.</w:t>
      </w:r>
    </w:p>
  </w:footnote>
  <w:footnote w:id="33">
    <w:p w:rsidR="009D2186" w:rsidRPr="004A327B" w:rsidRDefault="009D2186" w:rsidP="005E5421">
      <w:pPr>
        <w:pStyle w:val="Notedebasdepage"/>
        <w:jc w:val="both"/>
        <w:rPr>
          <w:lang w:val="fr-BE"/>
        </w:rPr>
      </w:pPr>
      <w:r w:rsidRPr="005E5421">
        <w:rPr>
          <w:rStyle w:val="Appelnotedebasdep"/>
          <w:lang w:val="fr-BE"/>
        </w:rPr>
        <w:footnoteRef/>
      </w:r>
      <w:r w:rsidRPr="005E5421">
        <w:rPr>
          <w:lang w:val="fr-BE"/>
        </w:rPr>
        <w:t xml:space="preserve"> La question de l’exonération en raison d’une faute du mandataire ne se posera pas dans l’hypothèse – limitée – où ladite faute peut, dans le chef du mandant (entreprise)</w:t>
      </w:r>
      <w:r w:rsidRPr="00A944D5">
        <w:rPr>
          <w:lang w:val="fr-BE"/>
        </w:rPr>
        <w:t>,</w:t>
      </w:r>
      <w:r w:rsidRPr="005E5421">
        <w:rPr>
          <w:lang w:val="fr-BE"/>
        </w:rPr>
        <w:t xml:space="preserve"> être considérée comme un cas de force majeure : </w:t>
      </w:r>
      <w:proofErr w:type="spellStart"/>
      <w:r w:rsidRPr="005E5421">
        <w:rPr>
          <w:lang w:val="fr-BE"/>
        </w:rPr>
        <w:t>voy</w:t>
      </w:r>
      <w:proofErr w:type="spellEnd"/>
      <w:r w:rsidRPr="005E5421">
        <w:rPr>
          <w:lang w:val="fr-BE"/>
        </w:rPr>
        <w:t>. à cet égard la jurisprudence de la Cour de cassation sur la faute de l’huissier de justice – mandataire – qui pose un acte dans le cadre de son monopole légal</w:t>
      </w:r>
      <w:r w:rsidRPr="00A944D5">
        <w:rPr>
          <w:lang w:val="fr-BE"/>
        </w:rPr>
        <w:t xml:space="preserve"> (</w:t>
      </w:r>
      <w:proofErr w:type="spellStart"/>
      <w:r w:rsidRPr="00A944D5">
        <w:rPr>
          <w:lang w:val="fr-BE"/>
        </w:rPr>
        <w:t>Cass</w:t>
      </w:r>
      <w:proofErr w:type="spellEnd"/>
      <w:r w:rsidRPr="00A944D5">
        <w:rPr>
          <w:lang w:val="fr-BE"/>
        </w:rPr>
        <w:t>.</w:t>
      </w:r>
      <w:r w:rsidRPr="005E5421">
        <w:rPr>
          <w:lang w:val="fr-BE"/>
        </w:rPr>
        <w:t xml:space="preserve"> (2</w:t>
      </w:r>
      <w:r w:rsidRPr="005E5421">
        <w:rPr>
          <w:vertAlign w:val="superscript"/>
          <w:lang w:val="fr-BE"/>
        </w:rPr>
        <w:t>e</w:t>
      </w:r>
      <w:r w:rsidRPr="005E5421">
        <w:rPr>
          <w:lang w:val="fr-BE"/>
        </w:rPr>
        <w:t xml:space="preserve"> ch.)</w:t>
      </w:r>
      <w:r>
        <w:rPr>
          <w:lang w:val="fr-BE"/>
        </w:rPr>
        <w:t xml:space="preserve">, 9 novembre 2011, </w:t>
      </w:r>
      <w:r>
        <w:rPr>
          <w:i/>
          <w:lang w:val="fr-BE"/>
        </w:rPr>
        <w:t>Pas.</w:t>
      </w:r>
      <w:r>
        <w:rPr>
          <w:lang w:val="fr-BE"/>
        </w:rPr>
        <w:t xml:space="preserve">, 2011, p. 2497, </w:t>
      </w:r>
      <w:proofErr w:type="spellStart"/>
      <w:r>
        <w:rPr>
          <w:lang w:val="fr-BE"/>
        </w:rPr>
        <w:t>concl</w:t>
      </w:r>
      <w:proofErr w:type="spellEnd"/>
      <w:r>
        <w:rPr>
          <w:lang w:val="fr-BE"/>
        </w:rPr>
        <w:t xml:space="preserve">. D. </w:t>
      </w:r>
      <w:proofErr w:type="spellStart"/>
      <w:r w:rsidRPr="005E5421">
        <w:rPr>
          <w:smallCaps/>
          <w:lang w:val="fr-BE"/>
        </w:rPr>
        <w:t>Vandermeersch</w:t>
      </w:r>
      <w:proofErr w:type="spellEnd"/>
      <w:r>
        <w:rPr>
          <w:smallCaps/>
          <w:lang w:val="fr-BE"/>
        </w:rPr>
        <w:t xml:space="preserve"> ; </w:t>
      </w:r>
      <w:proofErr w:type="spellStart"/>
      <w:r w:rsidRPr="005E5421">
        <w:rPr>
          <w:lang w:val="fr-BE"/>
        </w:rPr>
        <w:t>Cass</w:t>
      </w:r>
      <w:proofErr w:type="spellEnd"/>
      <w:r w:rsidRPr="005E5421">
        <w:rPr>
          <w:lang w:val="fr-BE"/>
        </w:rPr>
        <w:t>. (1</w:t>
      </w:r>
      <w:r w:rsidRPr="005E5421">
        <w:rPr>
          <w:vertAlign w:val="superscript"/>
          <w:lang w:val="fr-BE"/>
        </w:rPr>
        <w:t>re</w:t>
      </w:r>
      <w:r w:rsidRPr="005E5421">
        <w:rPr>
          <w:lang w:val="fr-BE"/>
        </w:rPr>
        <w:t xml:space="preserve"> ch.), 8 février 2019 et </w:t>
      </w:r>
      <w:proofErr w:type="spellStart"/>
      <w:r w:rsidRPr="005E5421">
        <w:rPr>
          <w:lang w:val="fr-BE"/>
        </w:rPr>
        <w:t>Cass</w:t>
      </w:r>
      <w:proofErr w:type="spellEnd"/>
      <w:r w:rsidRPr="005E5421">
        <w:rPr>
          <w:lang w:val="fr-BE"/>
        </w:rPr>
        <w:t>. (1</w:t>
      </w:r>
      <w:r w:rsidRPr="005E5421">
        <w:rPr>
          <w:vertAlign w:val="superscript"/>
          <w:lang w:val="fr-BE"/>
        </w:rPr>
        <w:t>re</w:t>
      </w:r>
      <w:r w:rsidRPr="005E5421">
        <w:rPr>
          <w:lang w:val="fr-BE"/>
        </w:rPr>
        <w:t xml:space="preserve"> ch.), 11 avril 2019,</w:t>
      </w:r>
      <w:r w:rsidRPr="005E5421">
        <w:rPr>
          <w:i/>
          <w:iCs/>
          <w:lang w:val="fr-BE"/>
        </w:rPr>
        <w:t xml:space="preserve"> R.G.D.C.</w:t>
      </w:r>
      <w:r w:rsidRPr="005E5421">
        <w:rPr>
          <w:lang w:val="fr-BE"/>
        </w:rPr>
        <w:t xml:space="preserve">, 2019, </w:t>
      </w:r>
      <w:r>
        <w:rPr>
          <w:lang w:val="fr-BE"/>
        </w:rPr>
        <w:t xml:space="preserve">pp. 491 et 492, note </w:t>
      </w:r>
      <w:r w:rsidRPr="005E5421">
        <w:rPr>
          <w:smallCaps/>
          <w:lang w:val="fr-BE"/>
        </w:rPr>
        <w:t>S. De Rey</w:t>
      </w:r>
      <w:r w:rsidRPr="005E5421">
        <w:rPr>
          <w:lang w:val="fr-BE"/>
        </w:rPr>
        <w:t xml:space="preserve"> et </w:t>
      </w:r>
      <w:r w:rsidRPr="005E5421">
        <w:rPr>
          <w:smallCaps/>
          <w:lang w:val="fr-BE"/>
        </w:rPr>
        <w:t xml:space="preserve">B. </w:t>
      </w:r>
      <w:proofErr w:type="spellStart"/>
      <w:r w:rsidRPr="005E5421">
        <w:rPr>
          <w:smallCaps/>
          <w:lang w:val="fr-BE"/>
        </w:rPr>
        <w:t>Tilleman</w:t>
      </w:r>
      <w:proofErr w:type="spellEnd"/>
      <w:r>
        <w:rPr>
          <w:lang w:val="fr-BE"/>
        </w:rPr>
        <w:t xml:space="preserve"> ; </w:t>
      </w:r>
      <w:proofErr w:type="spellStart"/>
      <w:r w:rsidRPr="005E5421">
        <w:rPr>
          <w:lang w:val="fr-BE"/>
        </w:rPr>
        <w:t>Cass</w:t>
      </w:r>
      <w:proofErr w:type="spellEnd"/>
      <w:r w:rsidRPr="005E5421">
        <w:rPr>
          <w:lang w:val="fr-BE"/>
        </w:rPr>
        <w:t>. (</w:t>
      </w:r>
      <w:proofErr w:type="spellStart"/>
      <w:r w:rsidRPr="005E5421">
        <w:rPr>
          <w:lang w:val="fr-BE"/>
        </w:rPr>
        <w:t>plén</w:t>
      </w:r>
      <w:proofErr w:type="spellEnd"/>
      <w:r w:rsidRPr="005E5421">
        <w:rPr>
          <w:lang w:val="fr-BE"/>
        </w:rPr>
        <w:t>.), 18 novembre 2019, n° C.18.0510.F</w:t>
      </w:r>
      <w:r>
        <w:rPr>
          <w:lang w:val="fr-BE"/>
        </w:rPr>
        <w:t>).</w:t>
      </w:r>
    </w:p>
  </w:footnote>
  <w:footnote w:id="34">
    <w:p w:rsidR="009D2186" w:rsidRPr="004A327B" w:rsidRDefault="009D2186" w:rsidP="00732D61">
      <w:pPr>
        <w:pStyle w:val="Notedebasdepage"/>
        <w:jc w:val="both"/>
        <w:rPr>
          <w:lang w:val="fr-BE"/>
        </w:rPr>
      </w:pPr>
      <w:r w:rsidRPr="005E5421">
        <w:rPr>
          <w:rStyle w:val="Appelnotedebasdep"/>
          <w:lang w:val="fr-BE"/>
        </w:rPr>
        <w:footnoteRef/>
      </w:r>
      <w:r w:rsidRPr="00A944D5">
        <w:rPr>
          <w:lang w:val="fr-BE"/>
        </w:rPr>
        <w:t xml:space="preserve"> Proposition de loi modifiant le Code de droit économique en ce qui concerne l’abus d’une position dominante significative, amendement n° 20 de Madame </w:t>
      </w:r>
      <w:proofErr w:type="spellStart"/>
      <w:r w:rsidRPr="00A944D5">
        <w:rPr>
          <w:lang w:val="fr-BE"/>
        </w:rPr>
        <w:t>Smaers</w:t>
      </w:r>
      <w:proofErr w:type="spellEnd"/>
      <w:r w:rsidRPr="00A944D5">
        <w:rPr>
          <w:lang w:val="fr-BE"/>
        </w:rPr>
        <w:t xml:space="preserve"> et consorts, </w:t>
      </w:r>
      <w:r w:rsidRPr="004A327B">
        <w:rPr>
          <w:i/>
          <w:lang w:val="fr-BE"/>
        </w:rPr>
        <w:t xml:space="preserve">Doc. </w:t>
      </w:r>
      <w:proofErr w:type="spellStart"/>
      <w:r w:rsidRPr="004A327B">
        <w:rPr>
          <w:i/>
          <w:lang w:val="fr-BE"/>
        </w:rPr>
        <w:t>Parl</w:t>
      </w:r>
      <w:proofErr w:type="spellEnd"/>
      <w:r w:rsidRPr="004A327B">
        <w:rPr>
          <w:i/>
          <w:lang w:val="fr-BE"/>
        </w:rPr>
        <w:t>.</w:t>
      </w:r>
      <w:r w:rsidRPr="004A327B">
        <w:rPr>
          <w:lang w:val="fr-BE"/>
        </w:rPr>
        <w:t xml:space="preserve">, Ch., 2018-2019, n° 54-1451/3, p. 44. </w:t>
      </w:r>
    </w:p>
  </w:footnote>
  <w:footnote w:id="35">
    <w:p w:rsidR="009D2186" w:rsidRPr="001F769C" w:rsidRDefault="009D2186" w:rsidP="00732D61">
      <w:pPr>
        <w:pStyle w:val="Notedebasdepage"/>
        <w:jc w:val="both"/>
        <w:rPr>
          <w:lang w:val="nl-BE"/>
        </w:rPr>
      </w:pPr>
      <w:r w:rsidRPr="005E5421">
        <w:rPr>
          <w:rStyle w:val="Appelnotedebasdep"/>
          <w:lang w:val="fr-BE"/>
        </w:rPr>
        <w:footnoteRef/>
      </w:r>
      <w:r w:rsidRPr="00A944D5">
        <w:rPr>
          <w:lang w:val="fr-BE"/>
        </w:rPr>
        <w:t xml:space="preserve"> </w:t>
      </w:r>
      <w:proofErr w:type="spellStart"/>
      <w:r w:rsidRPr="00A944D5">
        <w:rPr>
          <w:lang w:val="fr-BE"/>
        </w:rPr>
        <w:t>Voy</w:t>
      </w:r>
      <w:proofErr w:type="spellEnd"/>
      <w:r w:rsidRPr="00A944D5">
        <w:rPr>
          <w:lang w:val="fr-BE"/>
        </w:rPr>
        <w:t xml:space="preserve"> </w:t>
      </w:r>
      <w:r w:rsidRPr="00A944D5">
        <w:rPr>
          <w:smallCaps/>
          <w:lang w:val="fr-BE"/>
        </w:rPr>
        <w:t xml:space="preserve">P. </w:t>
      </w:r>
      <w:proofErr w:type="spellStart"/>
      <w:r w:rsidRPr="00A944D5">
        <w:rPr>
          <w:smallCaps/>
          <w:lang w:val="fr-BE"/>
        </w:rPr>
        <w:t>Wéry</w:t>
      </w:r>
      <w:proofErr w:type="spellEnd"/>
      <w:r w:rsidRPr="004A327B">
        <w:rPr>
          <w:lang w:val="fr-BE"/>
        </w:rPr>
        <w:t xml:space="preserve">, </w:t>
      </w:r>
      <w:r w:rsidRPr="004A327B">
        <w:rPr>
          <w:i/>
          <w:lang w:val="fr-BE"/>
        </w:rPr>
        <w:t xml:space="preserve">op. </w:t>
      </w:r>
      <w:proofErr w:type="spellStart"/>
      <w:r w:rsidRPr="004A327B">
        <w:rPr>
          <w:i/>
          <w:lang w:val="fr-BE"/>
        </w:rPr>
        <w:t>cit</w:t>
      </w:r>
      <w:proofErr w:type="spellEnd"/>
      <w:r w:rsidRPr="004A327B">
        <w:rPr>
          <w:i/>
          <w:lang w:val="fr-BE"/>
        </w:rPr>
        <w:t>.</w:t>
      </w:r>
      <w:r w:rsidRPr="004A327B">
        <w:rPr>
          <w:lang w:val="fr-BE"/>
        </w:rPr>
        <w:t xml:space="preserve">, 2011, p. 745, n° 770 ; </w:t>
      </w:r>
      <w:r w:rsidRPr="004A327B">
        <w:rPr>
          <w:smallCaps/>
          <w:lang w:val="fr-BE"/>
        </w:rPr>
        <w:t>M. Gouverneur</w:t>
      </w:r>
      <w:r w:rsidRPr="004A327B">
        <w:rPr>
          <w:lang w:val="fr-BE"/>
        </w:rPr>
        <w:t xml:space="preserve">, </w:t>
      </w:r>
      <w:r w:rsidRPr="004A327B">
        <w:rPr>
          <w:i/>
          <w:lang w:val="fr-BE"/>
        </w:rPr>
        <w:t>Les clauses abusives …, op</w:t>
      </w:r>
      <w:r>
        <w:rPr>
          <w:i/>
          <w:lang w:val="fr-BE"/>
        </w:rPr>
        <w:t xml:space="preserve">. </w:t>
      </w:r>
      <w:proofErr w:type="spellStart"/>
      <w:r>
        <w:rPr>
          <w:i/>
          <w:lang w:val="fr-BE"/>
        </w:rPr>
        <w:t>cit</w:t>
      </w:r>
      <w:proofErr w:type="spellEnd"/>
      <w:r>
        <w:rPr>
          <w:i/>
          <w:lang w:val="fr-BE"/>
        </w:rPr>
        <w:t xml:space="preserve">., </w:t>
      </w:r>
      <w:r>
        <w:rPr>
          <w:lang w:val="fr-BE"/>
        </w:rPr>
        <w:t xml:space="preserve">2018, p. 95 : ces auteurs plaident en faveur de l’inclusion des fautes de l’agent d’exécution dans le champ d’application de la disposition concernée. </w:t>
      </w:r>
      <w:r w:rsidRPr="001F769C">
        <w:rPr>
          <w:i/>
          <w:lang w:val="fr-BE"/>
        </w:rPr>
        <w:t>Contra </w:t>
      </w:r>
      <w:r w:rsidRPr="001F769C">
        <w:rPr>
          <w:lang w:val="fr-BE"/>
        </w:rPr>
        <w:t xml:space="preserve">: </w:t>
      </w:r>
      <w:r w:rsidRPr="001F769C">
        <w:rPr>
          <w:smallCaps/>
          <w:lang w:val="fr-BE"/>
        </w:rPr>
        <w:t xml:space="preserve">R. </w:t>
      </w:r>
      <w:proofErr w:type="spellStart"/>
      <w:r w:rsidRPr="001F769C">
        <w:rPr>
          <w:smallCaps/>
          <w:lang w:val="fr-BE"/>
        </w:rPr>
        <w:t>Steennot</w:t>
      </w:r>
      <w:proofErr w:type="spellEnd"/>
      <w:r w:rsidRPr="001F769C">
        <w:rPr>
          <w:lang w:val="fr-BE"/>
        </w:rPr>
        <w:t>, « </w:t>
      </w:r>
      <w:proofErr w:type="spellStart"/>
      <w:r w:rsidRPr="001F769C">
        <w:rPr>
          <w:lang w:val="fr-BE"/>
        </w:rPr>
        <w:t>Commentaar</w:t>
      </w:r>
      <w:proofErr w:type="spellEnd"/>
      <w:r w:rsidRPr="001F769C">
        <w:rPr>
          <w:lang w:val="fr-BE"/>
        </w:rPr>
        <w:t xml:space="preserve"> </w:t>
      </w:r>
      <w:proofErr w:type="spellStart"/>
      <w:r w:rsidRPr="001F769C">
        <w:rPr>
          <w:lang w:val="fr-BE"/>
        </w:rPr>
        <w:t>bij</w:t>
      </w:r>
      <w:proofErr w:type="spellEnd"/>
      <w:r w:rsidRPr="001F769C">
        <w:rPr>
          <w:lang w:val="fr-BE"/>
        </w:rPr>
        <w:t xml:space="preserve"> art. </w:t>
      </w:r>
      <w:r w:rsidRPr="009D2186">
        <w:rPr>
          <w:lang w:val="fr-BE"/>
        </w:rPr>
        <w:t>VI.83, 13° WER »,</w:t>
      </w:r>
      <w:r w:rsidRPr="009D2186">
        <w:rPr>
          <w:i/>
          <w:lang w:val="fr-BE"/>
        </w:rPr>
        <w:t xml:space="preserve"> O.H.R.A.</w:t>
      </w:r>
      <w:r w:rsidRPr="009D2186">
        <w:rPr>
          <w:iCs/>
          <w:lang w:val="fr-BE"/>
        </w:rPr>
        <w:t>,</w:t>
      </w:r>
      <w:r w:rsidRPr="009D2186">
        <w:rPr>
          <w:lang w:val="fr-BE"/>
        </w:rPr>
        <w:t xml:space="preserve"> 2017, p. 7, n° 7 ; </w:t>
      </w:r>
      <w:r w:rsidRPr="009D2186">
        <w:rPr>
          <w:smallCaps/>
          <w:lang w:val="fr-BE"/>
        </w:rPr>
        <w:t xml:space="preserve">I. </w:t>
      </w:r>
      <w:proofErr w:type="spellStart"/>
      <w:r w:rsidRPr="009D2186">
        <w:rPr>
          <w:smallCaps/>
          <w:lang w:val="fr-BE"/>
        </w:rPr>
        <w:t>Claeys</w:t>
      </w:r>
      <w:proofErr w:type="spellEnd"/>
      <w:r w:rsidRPr="009D2186">
        <w:rPr>
          <w:lang w:val="fr-BE"/>
        </w:rPr>
        <w:t xml:space="preserve"> et </w:t>
      </w:r>
      <w:r w:rsidRPr="009D2186">
        <w:rPr>
          <w:smallCaps/>
          <w:lang w:val="fr-BE"/>
        </w:rPr>
        <w:t xml:space="preserve">T. </w:t>
      </w:r>
      <w:proofErr w:type="spellStart"/>
      <w:r w:rsidRPr="009D2186">
        <w:rPr>
          <w:smallCaps/>
          <w:lang w:val="fr-BE"/>
        </w:rPr>
        <w:t>Tanghe</w:t>
      </w:r>
      <w:proofErr w:type="spellEnd"/>
      <w:r w:rsidRPr="009D2186">
        <w:rPr>
          <w:lang w:val="fr-BE"/>
        </w:rPr>
        <w:t xml:space="preserve">, </w:t>
      </w:r>
      <w:r w:rsidRPr="009D2186">
        <w:rPr>
          <w:i/>
          <w:lang w:val="fr-BE"/>
        </w:rPr>
        <w:t xml:space="preserve">op. </w:t>
      </w:r>
      <w:proofErr w:type="spellStart"/>
      <w:r w:rsidRPr="009D2186">
        <w:rPr>
          <w:i/>
          <w:lang w:val="fr-BE"/>
        </w:rPr>
        <w:t>cit</w:t>
      </w:r>
      <w:proofErr w:type="spellEnd"/>
      <w:r w:rsidRPr="009D2186">
        <w:rPr>
          <w:i/>
          <w:lang w:val="fr-BE"/>
        </w:rPr>
        <w:t>.</w:t>
      </w:r>
      <w:r w:rsidRPr="009D2186">
        <w:rPr>
          <w:lang w:val="fr-BE"/>
        </w:rPr>
        <w:t xml:space="preserve">, </w:t>
      </w:r>
      <w:r w:rsidRPr="009D2186">
        <w:rPr>
          <w:i/>
          <w:lang w:val="fr-BE"/>
        </w:rPr>
        <w:t>R.W.</w:t>
      </w:r>
      <w:r w:rsidRPr="009D2186">
        <w:rPr>
          <w:lang w:val="fr-BE"/>
        </w:rPr>
        <w:t xml:space="preserve">, 2019-2020, p. 341, n° 58. </w:t>
      </w:r>
      <w:r>
        <w:rPr>
          <w:lang w:val="fr-BE"/>
        </w:rPr>
        <w:t>Toujours est-il que</w:t>
      </w:r>
      <w:r w:rsidR="00812707">
        <w:rPr>
          <w:lang w:val="fr-BE"/>
        </w:rPr>
        <w:t>,</w:t>
      </w:r>
      <w:r>
        <w:rPr>
          <w:lang w:val="fr-BE"/>
        </w:rPr>
        <w:t xml:space="preserve"> si la clause visant à s’exonérer du dol ou de la faute lourde</w:t>
      </w:r>
      <w:r w:rsidR="00812707">
        <w:rPr>
          <w:lang w:val="fr-BE"/>
        </w:rPr>
        <w:t>/grave</w:t>
      </w:r>
      <w:r>
        <w:rPr>
          <w:lang w:val="fr-BE"/>
        </w:rPr>
        <w:t xml:space="preserve"> de son agent d’exécution ne peut</w:t>
      </w:r>
      <w:r w:rsidR="00812707">
        <w:rPr>
          <w:lang w:val="fr-BE"/>
        </w:rPr>
        <w:t>, selon une partie de la doctrine,</w:t>
      </w:r>
      <w:r>
        <w:rPr>
          <w:lang w:val="fr-BE"/>
        </w:rPr>
        <w:t xml:space="preserve"> être attaquée sur pied de l’article </w:t>
      </w:r>
      <w:r w:rsidR="00812707">
        <w:rPr>
          <w:lang w:val="fr-BE"/>
        </w:rPr>
        <w:t xml:space="preserve">VI.83, 13° (en B2C) ou </w:t>
      </w:r>
      <w:r>
        <w:rPr>
          <w:lang w:val="fr-BE"/>
        </w:rPr>
        <w:t>VI.91/5, 6°, du CDE</w:t>
      </w:r>
      <w:r w:rsidR="00812707">
        <w:rPr>
          <w:lang w:val="fr-BE"/>
        </w:rPr>
        <w:t xml:space="preserve"> (en B2B)</w:t>
      </w:r>
      <w:r>
        <w:rPr>
          <w:lang w:val="fr-BE"/>
        </w:rPr>
        <w:t>, elle pourrait</w:t>
      </w:r>
      <w:r w:rsidR="00812707">
        <w:rPr>
          <w:lang w:val="fr-BE"/>
        </w:rPr>
        <w:t xml:space="preserve"> sans doute </w:t>
      </w:r>
      <w:r>
        <w:rPr>
          <w:lang w:val="fr-BE"/>
        </w:rPr>
        <w:t xml:space="preserve">l’être sur la base de l’article </w:t>
      </w:r>
      <w:r w:rsidR="00812707">
        <w:rPr>
          <w:lang w:val="fr-BE"/>
        </w:rPr>
        <w:t xml:space="preserve">VI.83, 30° (en B2C) ou </w:t>
      </w:r>
      <w:r>
        <w:rPr>
          <w:lang w:val="fr-BE"/>
        </w:rPr>
        <w:t xml:space="preserve">VI.91/5, </w:t>
      </w:r>
      <w:r w:rsidR="00812707">
        <w:rPr>
          <w:lang w:val="fr-BE"/>
        </w:rPr>
        <w:t>4°, du CDE (en B2B), lesquels interdisent les stipulations qui visent à exclure ou limiter de façon inappropriée les droits légaux d’une partie en cas d’inexécution, par l’autre, d’une de ses obligations (</w:t>
      </w:r>
      <w:proofErr w:type="spellStart"/>
      <w:r w:rsidR="00812707">
        <w:rPr>
          <w:lang w:val="fr-BE"/>
        </w:rPr>
        <w:t>voy</w:t>
      </w:r>
      <w:proofErr w:type="spellEnd"/>
      <w:r w:rsidR="00812707">
        <w:rPr>
          <w:lang w:val="fr-BE"/>
        </w:rPr>
        <w:t xml:space="preserve">. </w:t>
      </w:r>
      <w:r w:rsidR="00812707" w:rsidRPr="001F769C">
        <w:rPr>
          <w:smallCaps/>
          <w:lang w:val="nl-BE"/>
        </w:rPr>
        <w:t>R. Steennot</w:t>
      </w:r>
      <w:r w:rsidR="00812707" w:rsidRPr="001F769C">
        <w:rPr>
          <w:lang w:val="nl-BE"/>
        </w:rPr>
        <w:t xml:space="preserve">, « Commentaar bij art. VI.91/5 WER », </w:t>
      </w:r>
      <w:r w:rsidR="00812707" w:rsidRPr="001F769C">
        <w:rPr>
          <w:i/>
          <w:lang w:val="nl-BE"/>
        </w:rPr>
        <w:t>O.H.R.A.</w:t>
      </w:r>
      <w:r w:rsidR="00812707" w:rsidRPr="001F769C">
        <w:rPr>
          <w:lang w:val="nl-BE"/>
        </w:rPr>
        <w:t>, 2019, p</w:t>
      </w:r>
      <w:r w:rsidR="001831CA" w:rsidRPr="001F769C">
        <w:rPr>
          <w:lang w:val="nl-BE"/>
        </w:rPr>
        <w:t>p. 15-16, n° 25.</w:t>
      </w:r>
    </w:p>
  </w:footnote>
  <w:footnote w:id="36">
    <w:p w:rsidR="009D2186" w:rsidRPr="00905413" w:rsidRDefault="009D2186" w:rsidP="003B4FD4">
      <w:pPr>
        <w:pStyle w:val="Notedebasdepage"/>
        <w:jc w:val="both"/>
        <w:rPr>
          <w:lang w:val="fr-BE"/>
        </w:rPr>
      </w:pPr>
      <w:r>
        <w:rPr>
          <w:rStyle w:val="Appelnotedebasdep"/>
        </w:rPr>
        <w:footnoteRef/>
      </w:r>
      <w:r w:rsidRPr="00905413">
        <w:rPr>
          <w:lang w:val="fr-BE"/>
        </w:rPr>
        <w:t xml:space="preserve"> </w:t>
      </w:r>
      <w:r w:rsidRPr="00905413">
        <w:rPr>
          <w:lang w:val="fr-BE"/>
        </w:rPr>
        <w:t xml:space="preserve">B. </w:t>
      </w:r>
      <w:r w:rsidRPr="00905413">
        <w:rPr>
          <w:smallCaps/>
          <w:lang w:val="fr-BE"/>
        </w:rPr>
        <w:t>Kohl</w:t>
      </w:r>
      <w:r w:rsidRPr="00905413">
        <w:rPr>
          <w:lang w:val="fr-BE"/>
        </w:rPr>
        <w:t xml:space="preserve"> et A. </w:t>
      </w:r>
      <w:proofErr w:type="spellStart"/>
      <w:r w:rsidRPr="00905413">
        <w:rPr>
          <w:smallCaps/>
          <w:lang w:val="fr-BE"/>
        </w:rPr>
        <w:t>Rigolet</w:t>
      </w:r>
      <w:proofErr w:type="spellEnd"/>
      <w:r w:rsidRPr="00905413">
        <w:rPr>
          <w:lang w:val="fr-BE"/>
        </w:rPr>
        <w:t xml:space="preserve">, </w:t>
      </w:r>
      <w:r w:rsidRPr="00905413">
        <w:rPr>
          <w:i/>
          <w:lang w:val="fr-BE"/>
        </w:rPr>
        <w:t xml:space="preserve">op. </w:t>
      </w:r>
      <w:proofErr w:type="spellStart"/>
      <w:r w:rsidRPr="00905413">
        <w:rPr>
          <w:i/>
          <w:lang w:val="fr-BE"/>
        </w:rPr>
        <w:t>cit</w:t>
      </w:r>
      <w:proofErr w:type="spellEnd"/>
      <w:r w:rsidRPr="00905413">
        <w:rPr>
          <w:lang w:val="fr-BE"/>
        </w:rPr>
        <w:t xml:space="preserve">., </w:t>
      </w:r>
      <w:r w:rsidRPr="00905413">
        <w:rPr>
          <w:i/>
          <w:lang w:val="fr-BE"/>
        </w:rPr>
        <w:t>Le notaire garant de la sécurité juridique. Examen de clauses</w:t>
      </w:r>
      <w:r w:rsidRPr="00905413">
        <w:rPr>
          <w:lang w:val="fr-BE"/>
        </w:rPr>
        <w:t>, 2016, p. 182, n° 61.</w:t>
      </w:r>
    </w:p>
  </w:footnote>
  <w:footnote w:id="37">
    <w:p w:rsidR="009D2186" w:rsidRPr="00051C0C" w:rsidRDefault="009D2186" w:rsidP="00B752D2">
      <w:pPr>
        <w:pStyle w:val="Notedebasdepage"/>
        <w:jc w:val="both"/>
        <w:rPr>
          <w:lang w:val="fr-BE"/>
        </w:rPr>
      </w:pPr>
      <w:r>
        <w:rPr>
          <w:rStyle w:val="Appelnotedebasdep"/>
        </w:rPr>
        <w:footnoteRef/>
      </w:r>
      <w:r w:rsidRPr="00905413">
        <w:rPr>
          <w:lang w:val="fr-BE"/>
        </w:rPr>
        <w:t xml:space="preserve"> Rapp</w:t>
      </w:r>
      <w:r w:rsidRPr="00543603">
        <w:rPr>
          <w:lang w:val="fr-BE"/>
        </w:rPr>
        <w:t xml:space="preserve">elons qu’en droit commun, </w:t>
      </w:r>
      <w:r>
        <w:rPr>
          <w:szCs w:val="24"/>
          <w:lang w:val="fr-FR"/>
        </w:rPr>
        <w:t xml:space="preserve">le caractère indécelable du vice caché de la chose permet au fabricant ou vendeur spécialisé de renverser « l’obligation de compétence » (présomption de « connaissance du vice ») qui repose sur lui, ce qui l’autorise, d’une part, à se prévaloir de la clause restrictive de la garantie des vices cachés  et, d’autre part, à échapper aux dommages et intérêts visés à l’article 1645 du Code civil (cf. </w:t>
      </w:r>
      <w:r w:rsidRPr="00D43DA2">
        <w:rPr>
          <w:lang w:val="fr-BE"/>
        </w:rPr>
        <w:t xml:space="preserve">not. </w:t>
      </w:r>
      <w:proofErr w:type="spellStart"/>
      <w:r w:rsidRPr="00D43DA2">
        <w:rPr>
          <w:lang w:val="fr-BE"/>
        </w:rPr>
        <w:t>Cass</w:t>
      </w:r>
      <w:proofErr w:type="spellEnd"/>
      <w:r w:rsidRPr="00D43DA2">
        <w:rPr>
          <w:lang w:val="fr-BE"/>
        </w:rPr>
        <w:t xml:space="preserve">., 3 mai 1939, </w:t>
      </w:r>
      <w:r w:rsidRPr="00D43DA2">
        <w:rPr>
          <w:i/>
          <w:lang w:val="fr-BE"/>
        </w:rPr>
        <w:t>Pas.</w:t>
      </w:r>
      <w:r w:rsidRPr="00D43DA2">
        <w:rPr>
          <w:lang w:val="fr-BE"/>
        </w:rPr>
        <w:t xml:space="preserve">, 1939, I, p. 224 ; </w:t>
      </w:r>
      <w:proofErr w:type="spellStart"/>
      <w:r w:rsidRPr="00D43DA2">
        <w:rPr>
          <w:lang w:val="fr-BE"/>
        </w:rPr>
        <w:t>Cass</w:t>
      </w:r>
      <w:proofErr w:type="spellEnd"/>
      <w:r w:rsidRPr="00D43DA2">
        <w:rPr>
          <w:lang w:val="fr-BE"/>
        </w:rPr>
        <w:t xml:space="preserve">., 19 septembre 1997, </w:t>
      </w:r>
      <w:r w:rsidRPr="00D43DA2">
        <w:rPr>
          <w:i/>
          <w:lang w:val="fr-BE"/>
        </w:rPr>
        <w:t>Pas.</w:t>
      </w:r>
      <w:r w:rsidRPr="00D43DA2">
        <w:rPr>
          <w:lang w:val="fr-BE"/>
        </w:rPr>
        <w:t xml:space="preserve">, 1997, I, p. 883 ; </w:t>
      </w:r>
      <w:proofErr w:type="spellStart"/>
      <w:r w:rsidRPr="00D43DA2">
        <w:rPr>
          <w:lang w:val="fr-BE"/>
        </w:rPr>
        <w:t>Cass</w:t>
      </w:r>
      <w:proofErr w:type="spellEnd"/>
      <w:r w:rsidRPr="00D43DA2">
        <w:rPr>
          <w:lang w:val="fr-BE"/>
        </w:rPr>
        <w:t xml:space="preserve">., 18 octobre 2001, </w:t>
      </w:r>
      <w:r w:rsidRPr="00D43DA2">
        <w:rPr>
          <w:i/>
          <w:lang w:val="fr-BE"/>
        </w:rPr>
        <w:t>Pas.</w:t>
      </w:r>
      <w:r w:rsidRPr="00D43DA2">
        <w:rPr>
          <w:lang w:val="fr-BE"/>
        </w:rPr>
        <w:t xml:space="preserve">, 2001, p. 1659 ; </w:t>
      </w:r>
      <w:proofErr w:type="spellStart"/>
      <w:r w:rsidRPr="00D43DA2">
        <w:rPr>
          <w:lang w:val="fr-BE"/>
        </w:rPr>
        <w:t>Cass</w:t>
      </w:r>
      <w:proofErr w:type="spellEnd"/>
      <w:r w:rsidRPr="00D43DA2">
        <w:rPr>
          <w:lang w:val="fr-BE"/>
        </w:rPr>
        <w:t>., 7 avril 2017,</w:t>
      </w:r>
      <w:r>
        <w:rPr>
          <w:lang w:val="fr-BE"/>
        </w:rPr>
        <w:t xml:space="preserve"> </w:t>
      </w:r>
      <w:r>
        <w:rPr>
          <w:i/>
          <w:lang w:val="fr-BE"/>
        </w:rPr>
        <w:t>Pas.</w:t>
      </w:r>
      <w:r>
        <w:rPr>
          <w:lang w:val="fr-BE"/>
        </w:rPr>
        <w:t>, 2017, p. 878)</w:t>
      </w:r>
      <w:r>
        <w:rPr>
          <w:szCs w:val="24"/>
          <w:lang w:val="fr-FR"/>
        </w:rPr>
        <w:t xml:space="preserve">. </w:t>
      </w:r>
      <w:proofErr w:type="spellStart"/>
      <w:r>
        <w:rPr>
          <w:szCs w:val="24"/>
          <w:lang w:val="fr-FR"/>
        </w:rPr>
        <w:t>Voy</w:t>
      </w:r>
      <w:proofErr w:type="spellEnd"/>
      <w:r>
        <w:rPr>
          <w:szCs w:val="24"/>
          <w:lang w:val="fr-FR"/>
        </w:rPr>
        <w:t xml:space="preserve">. </w:t>
      </w:r>
      <w:proofErr w:type="spellStart"/>
      <w:proofErr w:type="gramStart"/>
      <w:r>
        <w:rPr>
          <w:szCs w:val="24"/>
          <w:lang w:val="fr-FR"/>
        </w:rPr>
        <w:t>ég</w:t>
      </w:r>
      <w:proofErr w:type="spellEnd"/>
      <w:proofErr w:type="gramEnd"/>
      <w:r>
        <w:rPr>
          <w:szCs w:val="24"/>
          <w:lang w:val="fr-FR"/>
        </w:rPr>
        <w:t xml:space="preserve">. J. </w:t>
      </w:r>
      <w:r w:rsidRPr="005E5421">
        <w:rPr>
          <w:smallCaps/>
          <w:szCs w:val="24"/>
          <w:lang w:val="fr-FR"/>
        </w:rPr>
        <w:t>van Zuylen</w:t>
      </w:r>
      <w:r>
        <w:rPr>
          <w:szCs w:val="24"/>
          <w:lang w:val="fr-FR"/>
        </w:rPr>
        <w:t xml:space="preserve">, « Un vendeur </w:t>
      </w:r>
      <w:r w:rsidRPr="005E5421">
        <w:rPr>
          <w:szCs w:val="24"/>
          <w:lang w:val="fr-BE"/>
        </w:rPr>
        <w:t>“</w:t>
      </w:r>
      <w:r>
        <w:rPr>
          <w:szCs w:val="24"/>
          <w:lang w:val="fr-FR"/>
        </w:rPr>
        <w:t>professionnel</w:t>
      </w:r>
      <w:r w:rsidRPr="005E5421">
        <w:rPr>
          <w:szCs w:val="24"/>
          <w:lang w:val="fr-BE"/>
        </w:rPr>
        <w:t>”</w:t>
      </w:r>
      <w:r>
        <w:rPr>
          <w:szCs w:val="24"/>
          <w:lang w:val="fr-FR"/>
        </w:rPr>
        <w:t xml:space="preserve"> peut-il s’exonérer de la garantie des vices cachés ? », </w:t>
      </w:r>
      <w:proofErr w:type="spellStart"/>
      <w:r>
        <w:rPr>
          <w:i/>
          <w:szCs w:val="24"/>
          <w:lang w:val="fr-FR"/>
        </w:rPr>
        <w:t>Notamus</w:t>
      </w:r>
      <w:proofErr w:type="spellEnd"/>
      <w:r>
        <w:rPr>
          <w:i/>
          <w:szCs w:val="24"/>
          <w:lang w:val="fr-FR"/>
        </w:rPr>
        <w:t xml:space="preserve">, </w:t>
      </w:r>
      <w:r>
        <w:rPr>
          <w:szCs w:val="24"/>
          <w:lang w:val="fr-FR"/>
        </w:rPr>
        <w:t>2018/2, pp. 38 et s.</w:t>
      </w:r>
    </w:p>
  </w:footnote>
  <w:footnote w:id="38">
    <w:p w:rsidR="009D2186" w:rsidRPr="000633FF" w:rsidRDefault="009D2186">
      <w:pPr>
        <w:pStyle w:val="Notedebasdepage"/>
        <w:rPr>
          <w:lang w:val="fr-BE"/>
        </w:rPr>
      </w:pPr>
      <w:r>
        <w:rPr>
          <w:rStyle w:val="Appelnotedebasdep"/>
        </w:rPr>
        <w:footnoteRef/>
      </w:r>
      <w:r w:rsidRPr="000633FF">
        <w:rPr>
          <w:lang w:val="fr-BE"/>
        </w:rPr>
        <w:t xml:space="preserve"> </w:t>
      </w:r>
      <w:r>
        <w:rPr>
          <w:lang w:val="fr-BE"/>
        </w:rPr>
        <w:t xml:space="preserve">Proposition de loi modifiant le Code de droit économique en ce qui concerne l’abus d’une position dominante significative, amendement n° 20 de Mme </w:t>
      </w:r>
      <w:proofErr w:type="spellStart"/>
      <w:r>
        <w:rPr>
          <w:lang w:val="fr-BE"/>
        </w:rPr>
        <w:t>Smaers</w:t>
      </w:r>
      <w:proofErr w:type="spellEnd"/>
      <w:r>
        <w:rPr>
          <w:lang w:val="fr-BE"/>
        </w:rPr>
        <w:t xml:space="preserve"> et consorts, </w:t>
      </w:r>
      <w:r>
        <w:rPr>
          <w:i/>
          <w:lang w:val="fr-BE"/>
        </w:rPr>
        <w:t xml:space="preserve">Doc. </w:t>
      </w:r>
      <w:proofErr w:type="spellStart"/>
      <w:r>
        <w:rPr>
          <w:i/>
          <w:lang w:val="fr-BE"/>
        </w:rPr>
        <w:t>Parl</w:t>
      </w:r>
      <w:proofErr w:type="spellEnd"/>
      <w:r>
        <w:rPr>
          <w:lang w:val="fr-BE"/>
        </w:rPr>
        <w:t>, Ch., 2018-2019, n° 54-1451/3, p. 43.</w:t>
      </w:r>
    </w:p>
  </w:footnote>
  <w:footnote w:id="39">
    <w:p w:rsidR="009D2186" w:rsidRPr="008307DE" w:rsidRDefault="009D2186" w:rsidP="00C374F6">
      <w:pPr>
        <w:pStyle w:val="Notedebasdepage"/>
        <w:jc w:val="both"/>
        <w:rPr>
          <w:lang w:val="fr-BE"/>
        </w:rPr>
      </w:pPr>
      <w:r>
        <w:rPr>
          <w:rStyle w:val="Appelnotedebasdep"/>
        </w:rPr>
        <w:footnoteRef/>
      </w:r>
      <w:r w:rsidRPr="000E361A">
        <w:rPr>
          <w:lang w:val="fr-BE"/>
        </w:rPr>
        <w:t xml:space="preserve"> H</w:t>
      </w:r>
      <w:r w:rsidRPr="000E361A">
        <w:rPr>
          <w:bCs/>
          <w:lang w:val="fr-BE"/>
        </w:rPr>
        <w:t xml:space="preserve">. </w:t>
      </w:r>
      <w:r w:rsidRPr="000E361A">
        <w:rPr>
          <w:bCs/>
          <w:smallCaps/>
          <w:lang w:val="fr-BE"/>
        </w:rPr>
        <w:t>De Page</w:t>
      </w:r>
      <w:r w:rsidRPr="000E361A">
        <w:rPr>
          <w:bCs/>
          <w:lang w:val="fr-BE"/>
        </w:rPr>
        <w:t xml:space="preserve"> et A. </w:t>
      </w:r>
      <w:proofErr w:type="spellStart"/>
      <w:r w:rsidRPr="000E361A">
        <w:rPr>
          <w:bCs/>
          <w:smallCaps/>
          <w:lang w:val="fr-BE"/>
        </w:rPr>
        <w:t>Meinheirtzhagen-Limpens</w:t>
      </w:r>
      <w:proofErr w:type="spellEnd"/>
      <w:r w:rsidRPr="000E361A">
        <w:rPr>
          <w:bCs/>
          <w:lang w:val="fr-BE"/>
        </w:rPr>
        <w:t xml:space="preserve">, </w:t>
      </w:r>
      <w:r w:rsidRPr="000E361A">
        <w:rPr>
          <w:bCs/>
          <w:i/>
          <w:iCs/>
          <w:lang w:val="fr-BE"/>
        </w:rPr>
        <w:t>Traité élémentaire de droit civil belge</w:t>
      </w:r>
      <w:r w:rsidRPr="000E361A">
        <w:rPr>
          <w:bCs/>
          <w:lang w:val="fr-BE"/>
        </w:rPr>
        <w:t xml:space="preserve">, t. IV, </w:t>
      </w:r>
      <w:r w:rsidRPr="000E361A">
        <w:rPr>
          <w:bCs/>
          <w:i/>
          <w:iCs/>
          <w:lang w:val="fr-BE"/>
        </w:rPr>
        <w:t>Les principaux contrats spéciaux (1</w:t>
      </w:r>
      <w:r w:rsidRPr="000E361A">
        <w:rPr>
          <w:bCs/>
          <w:i/>
          <w:iCs/>
          <w:vertAlign w:val="superscript"/>
          <w:lang w:val="fr-BE"/>
        </w:rPr>
        <w:t>re</w:t>
      </w:r>
      <w:r w:rsidRPr="000E361A">
        <w:rPr>
          <w:bCs/>
          <w:i/>
          <w:iCs/>
          <w:lang w:val="fr-BE"/>
        </w:rPr>
        <w:t xml:space="preserve"> partie)</w:t>
      </w:r>
      <w:r w:rsidRPr="000E361A">
        <w:rPr>
          <w:bCs/>
          <w:lang w:val="fr-BE"/>
        </w:rPr>
        <w:t xml:space="preserve">, vol. 1, 4e éd., Bruxelles, </w:t>
      </w:r>
      <w:proofErr w:type="spellStart"/>
      <w:r w:rsidRPr="000E361A">
        <w:rPr>
          <w:bCs/>
          <w:lang w:val="fr-BE"/>
        </w:rPr>
        <w:t>Bruylant</w:t>
      </w:r>
      <w:proofErr w:type="spellEnd"/>
      <w:r w:rsidRPr="000E361A">
        <w:rPr>
          <w:bCs/>
          <w:lang w:val="fr-BE"/>
        </w:rPr>
        <w:t>, 1997,</w:t>
      </w:r>
      <w:r>
        <w:rPr>
          <w:bCs/>
          <w:lang w:val="fr-BE"/>
        </w:rPr>
        <w:t xml:space="preserve"> pp. 293-294, n° 210 </w:t>
      </w:r>
      <w:r w:rsidRPr="000E361A">
        <w:rPr>
          <w:lang w:val="fr-BE"/>
        </w:rPr>
        <w:t>; J</w:t>
      </w:r>
      <w:r w:rsidRPr="000E361A">
        <w:rPr>
          <w:smallCaps/>
          <w:lang w:val="fr-BE"/>
        </w:rPr>
        <w:t xml:space="preserve">. </w:t>
      </w:r>
      <w:proofErr w:type="spellStart"/>
      <w:r w:rsidRPr="000E361A">
        <w:rPr>
          <w:smallCaps/>
          <w:lang w:val="fr-BE"/>
        </w:rPr>
        <w:t>Dewez</w:t>
      </w:r>
      <w:proofErr w:type="spellEnd"/>
      <w:r w:rsidRPr="000E361A">
        <w:rPr>
          <w:lang w:val="fr-BE"/>
        </w:rPr>
        <w:t xml:space="preserve">, « Garantie d’éviction et garantie des vices cachés : dans quelle mesure le vendeur et le bailleur peuvent-ils s’exonérer de leurs obligations ? », </w:t>
      </w:r>
      <w:r w:rsidRPr="000E361A">
        <w:rPr>
          <w:i/>
          <w:lang w:val="fr-BE"/>
        </w:rPr>
        <w:t>J.T.</w:t>
      </w:r>
      <w:r w:rsidRPr="000E361A">
        <w:rPr>
          <w:lang w:val="fr-BE"/>
        </w:rPr>
        <w:t>, 2011, p.</w:t>
      </w:r>
      <w:r>
        <w:rPr>
          <w:lang w:val="fr-BE"/>
        </w:rPr>
        <w:t xml:space="preserve"> 767, n° 9. Toutefois, une clause relative au bref délai ne pourrait, à notre estime, échapper à la qualification de clause restrictive de la garantie des vices cachés que si le délai fixé ne commence à courir qu’à compter </w:t>
      </w:r>
      <w:r>
        <w:rPr>
          <w:i/>
          <w:lang w:val="fr-BE"/>
        </w:rPr>
        <w:t>de la découverte du vice caché</w:t>
      </w:r>
      <w:r>
        <w:rPr>
          <w:lang w:val="fr-BE"/>
        </w:rPr>
        <w:t xml:space="preserve"> (</w:t>
      </w:r>
      <w:proofErr w:type="spellStart"/>
      <w:r>
        <w:rPr>
          <w:lang w:val="fr-BE"/>
        </w:rPr>
        <w:t>voy</w:t>
      </w:r>
      <w:proofErr w:type="spellEnd"/>
      <w:r>
        <w:rPr>
          <w:lang w:val="fr-BE"/>
        </w:rPr>
        <w:t>. en ce sens </w:t>
      </w:r>
      <w:r w:rsidRPr="003A2B19">
        <w:rPr>
          <w:lang w:val="fr-BE"/>
        </w:rPr>
        <w:t xml:space="preserve">C. </w:t>
      </w:r>
      <w:proofErr w:type="spellStart"/>
      <w:r w:rsidRPr="003A2B19">
        <w:rPr>
          <w:smallCaps/>
          <w:lang w:val="fr-BE"/>
        </w:rPr>
        <w:t>Jassogne</w:t>
      </w:r>
      <w:proofErr w:type="spellEnd"/>
      <w:r w:rsidRPr="003A2B19">
        <w:rPr>
          <w:lang w:val="fr-BE"/>
        </w:rPr>
        <w:t xml:space="preserve">, « La garantie découlant de la vente : principes et clauses particulières », </w:t>
      </w:r>
      <w:r w:rsidRPr="003A2B19">
        <w:rPr>
          <w:i/>
          <w:iCs/>
          <w:lang w:val="fr-BE"/>
        </w:rPr>
        <w:t>Ann. Dr. Liège,</w:t>
      </w:r>
      <w:r w:rsidRPr="003A2B19">
        <w:rPr>
          <w:lang w:val="fr-BE"/>
        </w:rPr>
        <w:t xml:space="preserve"> 1988, pp. 447-448)</w:t>
      </w:r>
      <w:r>
        <w:rPr>
          <w:lang w:val="fr-BE"/>
        </w:rPr>
        <w:t xml:space="preserve"> voire, le cas échéant, à partir du moment où le vice caché pouvait raisonnablement être découvert</w:t>
      </w:r>
      <w:r w:rsidRPr="003A2B19">
        <w:rPr>
          <w:lang w:val="fr-BE"/>
        </w:rPr>
        <w:t>.</w:t>
      </w:r>
      <w:r>
        <w:rPr>
          <w:lang w:val="fr-BE"/>
        </w:rPr>
        <w:t xml:space="preserve"> En revanche, une stipulation qui prendrait le moment de la vente ou de la délivrance comme point de départ du « bref délai » pourrait, à notre sens, être requalifiée en clause restrictive de garantie, du moins s’il s’agit d’un vice qui ne peut apparaitre qu’après un usage prolongé de la chose ou qui est de nature à échapper aux investigations attentives de l’acheteur. L’on doit toutefois reconnaitre que le point de départ du bref délai est controversé en doctrine (</w:t>
      </w:r>
      <w:proofErr w:type="spellStart"/>
      <w:r>
        <w:rPr>
          <w:lang w:val="fr-BE"/>
        </w:rPr>
        <w:t>voy</w:t>
      </w:r>
      <w:proofErr w:type="spellEnd"/>
      <w:r>
        <w:rPr>
          <w:lang w:val="fr-BE"/>
        </w:rPr>
        <w:t>. not. C</w:t>
      </w:r>
      <w:r w:rsidRPr="00B06977">
        <w:rPr>
          <w:lang w:val="fr-BE"/>
        </w:rPr>
        <w:t>. A</w:t>
      </w:r>
      <w:r w:rsidRPr="00B06977">
        <w:rPr>
          <w:smallCaps/>
          <w:lang w:val="fr-BE"/>
        </w:rPr>
        <w:t>lter</w:t>
      </w:r>
      <w:r w:rsidRPr="00B06977">
        <w:rPr>
          <w:lang w:val="fr-BE"/>
        </w:rPr>
        <w:t xml:space="preserve"> et R. </w:t>
      </w:r>
      <w:proofErr w:type="spellStart"/>
      <w:r w:rsidRPr="00B06977">
        <w:rPr>
          <w:lang w:val="fr-BE"/>
        </w:rPr>
        <w:t>T</w:t>
      </w:r>
      <w:r w:rsidRPr="00B06977">
        <w:rPr>
          <w:smallCaps/>
          <w:lang w:val="fr-BE"/>
        </w:rPr>
        <w:t>hungen</w:t>
      </w:r>
      <w:proofErr w:type="spellEnd"/>
      <w:r w:rsidRPr="00B06977">
        <w:rPr>
          <w:lang w:val="fr-BE"/>
        </w:rPr>
        <w:t xml:space="preserve">, </w:t>
      </w:r>
      <w:r>
        <w:rPr>
          <w:lang w:val="fr-BE"/>
        </w:rPr>
        <w:t>« </w:t>
      </w:r>
      <w:r w:rsidRPr="00D91A2C">
        <w:rPr>
          <w:lang w:val="fr-BE"/>
        </w:rPr>
        <w:t>Les</w:t>
      </w:r>
      <w:r>
        <w:rPr>
          <w:lang w:val="fr-BE"/>
        </w:rPr>
        <w:t xml:space="preserve"> obligations du vendeur »</w:t>
      </w:r>
      <w:r w:rsidRPr="00D91A2C">
        <w:rPr>
          <w:lang w:val="fr-BE"/>
        </w:rPr>
        <w:t xml:space="preserve">, </w:t>
      </w:r>
      <w:r w:rsidRPr="00D91A2C">
        <w:rPr>
          <w:i/>
          <w:lang w:val="fr-BE"/>
        </w:rPr>
        <w:t>Manuel de la vente</w:t>
      </w:r>
      <w:r w:rsidRPr="00D91A2C">
        <w:rPr>
          <w:lang w:val="fr-BE"/>
        </w:rPr>
        <w:t>, Malines, Kluwer, 2010, pp. 224-225, n° 452</w:t>
      </w:r>
      <w:r>
        <w:rPr>
          <w:lang w:val="fr-BE"/>
        </w:rPr>
        <w:t> ;</w:t>
      </w:r>
      <w:r w:rsidRPr="00241CC2">
        <w:rPr>
          <w:smallCaps/>
          <w:lang w:val="fr-BE"/>
        </w:rPr>
        <w:t xml:space="preserve"> </w:t>
      </w:r>
      <w:r w:rsidRPr="00314B9C">
        <w:rPr>
          <w:smallCaps/>
          <w:lang w:val="fr-BE"/>
        </w:rPr>
        <w:t xml:space="preserve">M. </w:t>
      </w:r>
      <w:proofErr w:type="spellStart"/>
      <w:r w:rsidRPr="00314B9C">
        <w:rPr>
          <w:smallCaps/>
          <w:lang w:val="fr-BE"/>
        </w:rPr>
        <w:t>Houbben</w:t>
      </w:r>
      <w:proofErr w:type="spellEnd"/>
      <w:r>
        <w:rPr>
          <w:lang w:val="fr-BE"/>
        </w:rPr>
        <w:t>, « </w:t>
      </w:r>
      <w:r w:rsidRPr="008307DE">
        <w:rPr>
          <w:lang w:val="fr-BE"/>
        </w:rPr>
        <w:t>L’exigence d’action à ‘bref délai’ en matière de garantie des vices</w:t>
      </w:r>
      <w:r>
        <w:rPr>
          <w:lang w:val="fr-BE"/>
        </w:rPr>
        <w:t xml:space="preserve"> </w:t>
      </w:r>
      <w:r w:rsidRPr="008307DE">
        <w:rPr>
          <w:lang w:val="fr-BE"/>
        </w:rPr>
        <w:t>cachés: comparaison entre vente, bail et entreprise</w:t>
      </w:r>
      <w:r>
        <w:rPr>
          <w:lang w:val="fr-BE"/>
        </w:rPr>
        <w:t xml:space="preserve"> », </w:t>
      </w:r>
      <w:r>
        <w:rPr>
          <w:i/>
          <w:lang w:val="fr-BE"/>
        </w:rPr>
        <w:t>R.G.D.C.</w:t>
      </w:r>
      <w:r>
        <w:rPr>
          <w:lang w:val="fr-BE"/>
        </w:rPr>
        <w:t xml:space="preserve">, 2011, pp. 285 et s. ; </w:t>
      </w:r>
      <w:r w:rsidRPr="005E5421">
        <w:rPr>
          <w:smallCaps/>
          <w:lang w:val="fr-BE"/>
        </w:rPr>
        <w:t>B. Kohl</w:t>
      </w:r>
      <w:r>
        <w:rPr>
          <w:lang w:val="fr-BE"/>
        </w:rPr>
        <w:t>, « L</w:t>
      </w:r>
      <w:r w:rsidRPr="00241CC2">
        <w:rPr>
          <w:lang w:val="fr-BE"/>
        </w:rPr>
        <w:t>’action en garantie des vices cachés</w:t>
      </w:r>
      <w:r>
        <w:rPr>
          <w:lang w:val="fr-BE"/>
        </w:rPr>
        <w:t xml:space="preserve"> </w:t>
      </w:r>
      <w:r w:rsidRPr="00241CC2">
        <w:rPr>
          <w:lang w:val="fr-BE"/>
        </w:rPr>
        <w:t>doit- elle être initiée endéans le délai</w:t>
      </w:r>
      <w:r>
        <w:rPr>
          <w:lang w:val="fr-BE"/>
        </w:rPr>
        <w:t xml:space="preserve"> </w:t>
      </w:r>
      <w:r w:rsidRPr="00241CC2">
        <w:rPr>
          <w:lang w:val="fr-BE"/>
        </w:rPr>
        <w:t>de prescription décennal ?</w:t>
      </w:r>
      <w:r>
        <w:rPr>
          <w:lang w:val="fr-BE"/>
        </w:rPr>
        <w:t xml:space="preserve"> », </w:t>
      </w:r>
      <w:r w:rsidRPr="005E5421">
        <w:rPr>
          <w:i/>
          <w:lang w:val="fr-BE"/>
        </w:rPr>
        <w:t xml:space="preserve">Liber </w:t>
      </w:r>
      <w:proofErr w:type="spellStart"/>
      <w:r w:rsidRPr="005E5421">
        <w:rPr>
          <w:i/>
          <w:lang w:val="fr-BE"/>
        </w:rPr>
        <w:t>Amicorum</w:t>
      </w:r>
      <w:proofErr w:type="spellEnd"/>
      <w:r w:rsidRPr="005E5421">
        <w:rPr>
          <w:i/>
          <w:lang w:val="fr-BE"/>
        </w:rPr>
        <w:t xml:space="preserve"> François </w:t>
      </w:r>
      <w:proofErr w:type="spellStart"/>
      <w:r w:rsidRPr="005E5421">
        <w:rPr>
          <w:i/>
          <w:lang w:val="fr-BE"/>
        </w:rPr>
        <w:t>Glansdorff</w:t>
      </w:r>
      <w:proofErr w:type="spellEnd"/>
      <w:r w:rsidRPr="005E5421">
        <w:rPr>
          <w:i/>
          <w:lang w:val="fr-BE"/>
        </w:rPr>
        <w:t xml:space="preserve"> et Pierre Legros</w:t>
      </w:r>
      <w:r>
        <w:rPr>
          <w:lang w:val="fr-BE"/>
        </w:rPr>
        <w:t xml:space="preserve">, Bruxelles, </w:t>
      </w:r>
      <w:proofErr w:type="spellStart"/>
      <w:r>
        <w:rPr>
          <w:lang w:val="fr-BE"/>
        </w:rPr>
        <w:t>Bruylant</w:t>
      </w:r>
      <w:proofErr w:type="spellEnd"/>
      <w:r>
        <w:rPr>
          <w:lang w:val="fr-BE"/>
        </w:rPr>
        <w:t xml:space="preserve">, 2013, </w:t>
      </w:r>
      <w:proofErr w:type="spellStart"/>
      <w:r>
        <w:rPr>
          <w:lang w:val="fr-BE"/>
        </w:rPr>
        <w:t>spéc</w:t>
      </w:r>
      <w:proofErr w:type="spellEnd"/>
      <w:r>
        <w:rPr>
          <w:lang w:val="fr-BE"/>
        </w:rPr>
        <w:t>. pp. 200 à 202 ;</w:t>
      </w:r>
      <w:r w:rsidRPr="005E5421">
        <w:rPr>
          <w:caps/>
          <w:lang w:val="fr-BE"/>
        </w:rPr>
        <w:t xml:space="preserve"> B. </w:t>
      </w:r>
      <w:proofErr w:type="spellStart"/>
      <w:r w:rsidRPr="005E5421">
        <w:rPr>
          <w:caps/>
          <w:lang w:val="fr-BE"/>
        </w:rPr>
        <w:t>T</w:t>
      </w:r>
      <w:r w:rsidRPr="005E5421">
        <w:rPr>
          <w:smallCaps/>
          <w:lang w:val="fr-BE"/>
        </w:rPr>
        <w:t>illeman</w:t>
      </w:r>
      <w:proofErr w:type="spellEnd"/>
      <w:r w:rsidRPr="005E5421">
        <w:rPr>
          <w:lang w:val="fr-BE"/>
        </w:rPr>
        <w:t xml:space="preserve">, </w:t>
      </w:r>
      <w:proofErr w:type="spellStart"/>
      <w:r w:rsidRPr="005E5421">
        <w:rPr>
          <w:i/>
          <w:lang w:val="fr-BE"/>
        </w:rPr>
        <w:t>Bijzondere</w:t>
      </w:r>
      <w:proofErr w:type="spellEnd"/>
      <w:r w:rsidRPr="005E5421">
        <w:rPr>
          <w:i/>
          <w:lang w:val="fr-BE"/>
        </w:rPr>
        <w:t xml:space="preserve"> </w:t>
      </w:r>
      <w:proofErr w:type="spellStart"/>
      <w:r w:rsidRPr="005E5421">
        <w:rPr>
          <w:i/>
          <w:lang w:val="fr-BE"/>
        </w:rPr>
        <w:t>overeenkomsten</w:t>
      </w:r>
      <w:proofErr w:type="spellEnd"/>
      <w:r w:rsidRPr="005E5421">
        <w:rPr>
          <w:i/>
          <w:lang w:val="fr-BE"/>
        </w:rPr>
        <w:t xml:space="preserve">, A. </w:t>
      </w:r>
      <w:proofErr w:type="spellStart"/>
      <w:r w:rsidRPr="005E5421">
        <w:rPr>
          <w:i/>
          <w:lang w:val="fr-BE"/>
        </w:rPr>
        <w:t>verkoop</w:t>
      </w:r>
      <w:proofErr w:type="spellEnd"/>
      <w:r w:rsidRPr="005E5421">
        <w:rPr>
          <w:i/>
          <w:lang w:val="fr-BE"/>
        </w:rPr>
        <w:t xml:space="preserve">, </w:t>
      </w:r>
      <w:proofErr w:type="spellStart"/>
      <w:r w:rsidRPr="005E5421">
        <w:rPr>
          <w:i/>
          <w:lang w:val="fr-BE"/>
        </w:rPr>
        <w:t>Deel</w:t>
      </w:r>
      <w:proofErr w:type="spellEnd"/>
      <w:r w:rsidRPr="005E5421">
        <w:rPr>
          <w:i/>
          <w:lang w:val="fr-BE"/>
        </w:rPr>
        <w:t xml:space="preserve"> 2. </w:t>
      </w:r>
      <w:proofErr w:type="spellStart"/>
      <w:r w:rsidRPr="005E5421">
        <w:rPr>
          <w:i/>
          <w:lang w:val="fr-BE"/>
        </w:rPr>
        <w:t>gevolgen</w:t>
      </w:r>
      <w:proofErr w:type="spellEnd"/>
      <w:r w:rsidRPr="005E5421">
        <w:rPr>
          <w:i/>
          <w:lang w:val="fr-BE"/>
        </w:rPr>
        <w:t xml:space="preserve"> van de </w:t>
      </w:r>
      <w:proofErr w:type="spellStart"/>
      <w:r w:rsidRPr="005E5421">
        <w:rPr>
          <w:i/>
          <w:lang w:val="fr-BE"/>
        </w:rPr>
        <w:t>koop</w:t>
      </w:r>
      <w:proofErr w:type="spellEnd"/>
      <w:r w:rsidRPr="005E5421">
        <w:rPr>
          <w:i/>
          <w:lang w:val="fr-BE"/>
        </w:rPr>
        <w:t xml:space="preserve">, </w:t>
      </w:r>
      <w:r w:rsidRPr="005E5421">
        <w:rPr>
          <w:lang w:val="fr-BE"/>
        </w:rPr>
        <w:t>in</w:t>
      </w:r>
      <w:r w:rsidRPr="005E5421">
        <w:rPr>
          <w:i/>
          <w:lang w:val="fr-BE"/>
        </w:rPr>
        <w:t xml:space="preserve"> </w:t>
      </w:r>
      <w:proofErr w:type="spellStart"/>
      <w:r w:rsidRPr="005E5421">
        <w:rPr>
          <w:i/>
          <w:lang w:val="fr-BE"/>
        </w:rPr>
        <w:t>Beginselen</w:t>
      </w:r>
      <w:proofErr w:type="spellEnd"/>
      <w:r w:rsidRPr="005E5421">
        <w:rPr>
          <w:i/>
          <w:lang w:val="fr-BE"/>
        </w:rPr>
        <w:t xml:space="preserve"> van </w:t>
      </w:r>
      <w:proofErr w:type="spellStart"/>
      <w:r w:rsidRPr="005E5421">
        <w:rPr>
          <w:i/>
          <w:lang w:val="fr-BE"/>
        </w:rPr>
        <w:t>Belgisch</w:t>
      </w:r>
      <w:proofErr w:type="spellEnd"/>
      <w:r w:rsidRPr="005E5421">
        <w:rPr>
          <w:i/>
          <w:lang w:val="fr-BE"/>
        </w:rPr>
        <w:t xml:space="preserve"> </w:t>
      </w:r>
      <w:proofErr w:type="spellStart"/>
      <w:r w:rsidRPr="005E5421">
        <w:rPr>
          <w:i/>
          <w:lang w:val="fr-BE"/>
        </w:rPr>
        <w:t>privaatrecht</w:t>
      </w:r>
      <w:proofErr w:type="spellEnd"/>
      <w:r w:rsidRPr="005E5421">
        <w:rPr>
          <w:lang w:val="fr-BE"/>
        </w:rPr>
        <w:t xml:space="preserve">, Mechelen, Kluwer, 2012, </w:t>
      </w:r>
      <w:r>
        <w:rPr>
          <w:lang w:val="fr-BE"/>
        </w:rPr>
        <w:t>p. 386, n° 472</w:t>
      </w:r>
      <w:r w:rsidRPr="00D91A2C">
        <w:rPr>
          <w:lang w:val="fr-BE"/>
        </w:rPr>
        <w:t>).</w:t>
      </w:r>
      <w:r>
        <w:rPr>
          <w:lang w:val="fr-BE"/>
        </w:rPr>
        <w:t xml:space="preserve"> Sur le point de départ du bref délai et son aménagement conventionnel, </w:t>
      </w:r>
      <w:proofErr w:type="spellStart"/>
      <w:r>
        <w:rPr>
          <w:lang w:val="fr-BE"/>
        </w:rPr>
        <w:t>voy</w:t>
      </w:r>
      <w:proofErr w:type="spellEnd"/>
      <w:r>
        <w:rPr>
          <w:lang w:val="fr-BE"/>
        </w:rPr>
        <w:t xml:space="preserve">. </w:t>
      </w:r>
      <w:proofErr w:type="spellStart"/>
      <w:r>
        <w:rPr>
          <w:lang w:val="fr-BE"/>
        </w:rPr>
        <w:t>ég</w:t>
      </w:r>
      <w:proofErr w:type="spellEnd"/>
      <w:r>
        <w:rPr>
          <w:lang w:val="fr-BE"/>
        </w:rPr>
        <w:t xml:space="preserve">. </w:t>
      </w:r>
      <w:r w:rsidRPr="005E5421">
        <w:rPr>
          <w:smallCaps/>
          <w:lang w:val="fr-BE"/>
        </w:rPr>
        <w:t xml:space="preserve">C. </w:t>
      </w:r>
      <w:proofErr w:type="spellStart"/>
      <w:r w:rsidRPr="005E5421">
        <w:rPr>
          <w:smallCaps/>
          <w:lang w:val="fr-BE"/>
        </w:rPr>
        <w:t>Delforge</w:t>
      </w:r>
      <w:proofErr w:type="spellEnd"/>
      <w:r w:rsidRPr="005E5421">
        <w:rPr>
          <w:smallCaps/>
          <w:lang w:val="fr-BE"/>
        </w:rPr>
        <w:t xml:space="preserve">, Y. </w:t>
      </w:r>
      <w:proofErr w:type="spellStart"/>
      <w:r w:rsidRPr="005E5421">
        <w:rPr>
          <w:smallCaps/>
          <w:lang w:val="fr-BE"/>
        </w:rPr>
        <w:t>Ninane</w:t>
      </w:r>
      <w:proofErr w:type="spellEnd"/>
      <w:r>
        <w:rPr>
          <w:lang w:val="fr-BE"/>
        </w:rPr>
        <w:t xml:space="preserve"> et </w:t>
      </w:r>
      <w:r w:rsidRPr="005E5421">
        <w:rPr>
          <w:smallCaps/>
          <w:lang w:val="fr-BE"/>
        </w:rPr>
        <w:t>M.-P. Noël</w:t>
      </w:r>
      <w:r>
        <w:rPr>
          <w:lang w:val="fr-BE"/>
        </w:rPr>
        <w:t xml:space="preserve">, « De quelques délais emblématiques du contrat de vente », </w:t>
      </w:r>
      <w:r>
        <w:rPr>
          <w:i/>
          <w:lang w:val="fr-BE"/>
        </w:rPr>
        <w:t xml:space="preserve">Contrats spéciaux, </w:t>
      </w:r>
      <w:proofErr w:type="spellStart"/>
      <w:r>
        <w:rPr>
          <w:lang w:val="fr-BE"/>
        </w:rPr>
        <w:t>Limal</w:t>
      </w:r>
      <w:proofErr w:type="spellEnd"/>
      <w:r>
        <w:rPr>
          <w:lang w:val="fr-BE"/>
        </w:rPr>
        <w:t xml:space="preserve">, </w:t>
      </w:r>
      <w:proofErr w:type="spellStart"/>
      <w:r>
        <w:rPr>
          <w:lang w:val="fr-BE"/>
        </w:rPr>
        <w:t>Anthemis</w:t>
      </w:r>
      <w:proofErr w:type="spellEnd"/>
      <w:r>
        <w:rPr>
          <w:lang w:val="fr-BE"/>
        </w:rPr>
        <w:t xml:space="preserve">, 2013, pp. 101-102, n° 24 et 25 et pp. 110 et s., n° 38. </w:t>
      </w:r>
    </w:p>
  </w:footnote>
  <w:footnote w:id="40">
    <w:p w:rsidR="009D2186" w:rsidRPr="000E361A" w:rsidRDefault="009D2186">
      <w:pPr>
        <w:pStyle w:val="Notedebasdepage"/>
        <w:jc w:val="both"/>
        <w:rPr>
          <w:lang w:val="fr-BE"/>
        </w:rPr>
      </w:pPr>
      <w:r>
        <w:rPr>
          <w:rStyle w:val="Appelnotedebasdep"/>
        </w:rPr>
        <w:footnoteRef/>
      </w:r>
      <w:r w:rsidRPr="000E361A">
        <w:rPr>
          <w:lang w:val="fr-BE"/>
        </w:rPr>
        <w:t xml:space="preserve"> </w:t>
      </w:r>
      <w:r w:rsidRPr="0079510A">
        <w:rPr>
          <w:lang w:val="fr-BE"/>
        </w:rPr>
        <w:t xml:space="preserve">P.-Y., </w:t>
      </w:r>
      <w:proofErr w:type="spellStart"/>
      <w:r w:rsidRPr="0079510A">
        <w:rPr>
          <w:smallCaps/>
          <w:lang w:val="fr-BE"/>
        </w:rPr>
        <w:t>Erneux</w:t>
      </w:r>
      <w:proofErr w:type="spellEnd"/>
      <w:r w:rsidRPr="0079510A">
        <w:rPr>
          <w:lang w:val="fr-BE"/>
        </w:rPr>
        <w:t xml:space="preserve">, </w:t>
      </w:r>
      <w:r w:rsidRPr="00B23550">
        <w:rPr>
          <w:i/>
          <w:lang w:val="fr-BE"/>
        </w:rPr>
        <w:t xml:space="preserve">op. </w:t>
      </w:r>
      <w:proofErr w:type="spellStart"/>
      <w:r w:rsidRPr="00B23550">
        <w:rPr>
          <w:i/>
          <w:lang w:val="fr-BE"/>
        </w:rPr>
        <w:t>cit</w:t>
      </w:r>
      <w:proofErr w:type="spellEnd"/>
      <w:r>
        <w:rPr>
          <w:lang w:val="fr-BE"/>
        </w:rPr>
        <w:t xml:space="preserve">., </w:t>
      </w:r>
      <w:r w:rsidRPr="0079510A">
        <w:rPr>
          <w:i/>
          <w:iCs/>
          <w:lang w:val="fr-BE"/>
        </w:rPr>
        <w:t xml:space="preserve">La vente immobilière.  </w:t>
      </w:r>
      <w:r w:rsidRPr="000E361A">
        <w:rPr>
          <w:i/>
          <w:iCs/>
          <w:lang w:val="fr-BE"/>
        </w:rPr>
        <w:t>Aspects civils, administratifs et fiscaux</w:t>
      </w:r>
      <w:r w:rsidRPr="000E361A">
        <w:rPr>
          <w:lang w:val="fr-BE"/>
        </w:rPr>
        <w:t xml:space="preserve">, </w:t>
      </w:r>
      <w:r>
        <w:rPr>
          <w:lang w:val="fr-BE"/>
        </w:rPr>
        <w:t xml:space="preserve">2010, p. 322, n° 76 ; </w:t>
      </w:r>
      <w:r w:rsidRPr="00314B9C">
        <w:rPr>
          <w:smallCaps/>
          <w:lang w:val="fr-BE"/>
        </w:rPr>
        <w:t xml:space="preserve">C. </w:t>
      </w:r>
      <w:proofErr w:type="spellStart"/>
      <w:r w:rsidRPr="00314B9C">
        <w:rPr>
          <w:smallCaps/>
          <w:lang w:val="fr-BE"/>
        </w:rPr>
        <w:t>Delforge</w:t>
      </w:r>
      <w:proofErr w:type="spellEnd"/>
      <w:r w:rsidRPr="00314B9C">
        <w:rPr>
          <w:smallCaps/>
          <w:lang w:val="fr-BE"/>
        </w:rPr>
        <w:t xml:space="preserve">, Y. </w:t>
      </w:r>
      <w:proofErr w:type="spellStart"/>
      <w:r w:rsidRPr="00314B9C">
        <w:rPr>
          <w:smallCaps/>
          <w:lang w:val="fr-BE"/>
        </w:rPr>
        <w:t>Ninane</w:t>
      </w:r>
      <w:proofErr w:type="spellEnd"/>
      <w:r>
        <w:rPr>
          <w:lang w:val="fr-BE"/>
        </w:rPr>
        <w:t xml:space="preserve"> et </w:t>
      </w:r>
      <w:r w:rsidRPr="00314B9C">
        <w:rPr>
          <w:smallCaps/>
          <w:lang w:val="fr-BE"/>
        </w:rPr>
        <w:t>M.-P. Noël</w:t>
      </w:r>
      <w:r>
        <w:rPr>
          <w:lang w:val="fr-BE"/>
        </w:rPr>
        <w:t xml:space="preserve">, </w:t>
      </w:r>
      <w:r>
        <w:rPr>
          <w:i/>
          <w:lang w:val="fr-BE"/>
        </w:rPr>
        <w:t xml:space="preserve">op. </w:t>
      </w:r>
      <w:proofErr w:type="spellStart"/>
      <w:r>
        <w:rPr>
          <w:i/>
          <w:lang w:val="fr-BE"/>
        </w:rPr>
        <w:t>cit</w:t>
      </w:r>
      <w:proofErr w:type="spellEnd"/>
      <w:r>
        <w:rPr>
          <w:i/>
          <w:lang w:val="fr-BE"/>
        </w:rPr>
        <w:t xml:space="preserve">., </w:t>
      </w:r>
      <w:r w:rsidRPr="002B5493">
        <w:rPr>
          <w:i/>
          <w:lang w:val="fr-BE"/>
        </w:rPr>
        <w:t xml:space="preserve"> </w:t>
      </w:r>
      <w:r>
        <w:rPr>
          <w:i/>
          <w:lang w:val="fr-BE"/>
        </w:rPr>
        <w:t xml:space="preserve">Contrats spéciaux, </w:t>
      </w:r>
      <w:r>
        <w:rPr>
          <w:lang w:val="fr-BE"/>
        </w:rPr>
        <w:t xml:space="preserve">2013, p. 102, n° 25. </w:t>
      </w:r>
    </w:p>
  </w:footnote>
  <w:footnote w:id="41">
    <w:p w:rsidR="009D2186" w:rsidRPr="005E5421" w:rsidRDefault="009D2186">
      <w:pPr>
        <w:pStyle w:val="Notedebasdepage"/>
        <w:rPr>
          <w:lang w:val="fr-BE"/>
        </w:rPr>
      </w:pPr>
      <w:r>
        <w:rPr>
          <w:rStyle w:val="Appelnotedebasdep"/>
        </w:rPr>
        <w:footnoteRef/>
      </w:r>
      <w:r w:rsidRPr="005E5421">
        <w:rPr>
          <w:lang w:val="fr-BE"/>
        </w:rPr>
        <w:t xml:space="preserve"> </w:t>
      </w:r>
      <w:proofErr w:type="spellStart"/>
      <w:r w:rsidRPr="005E5421">
        <w:rPr>
          <w:lang w:val="fr-BE"/>
        </w:rPr>
        <w:t>Voy</w:t>
      </w:r>
      <w:proofErr w:type="spellEnd"/>
      <w:r w:rsidRPr="005E5421">
        <w:rPr>
          <w:lang w:val="fr-BE"/>
        </w:rPr>
        <w:t>. art. I.1, 4°, du CDE</w:t>
      </w:r>
      <w:r>
        <w:rPr>
          <w:lang w:val="fr-BE"/>
        </w:rPr>
        <w:t>.</w:t>
      </w:r>
    </w:p>
  </w:footnote>
  <w:footnote w:id="42">
    <w:p w:rsidR="009D2186" w:rsidRPr="005E5421" w:rsidRDefault="009D2186" w:rsidP="005E5421">
      <w:pPr>
        <w:pStyle w:val="Notedebasdepage"/>
        <w:jc w:val="both"/>
        <w:rPr>
          <w:lang w:val="nl-BE"/>
        </w:rPr>
      </w:pPr>
      <w:r>
        <w:rPr>
          <w:rStyle w:val="Appelnotedebasdep"/>
        </w:rPr>
        <w:footnoteRef/>
      </w:r>
      <w:r w:rsidRPr="005E5421">
        <w:rPr>
          <w:lang w:val="nl-BE"/>
        </w:rPr>
        <w:t xml:space="preserve"> Voy. P</w:t>
      </w:r>
      <w:r w:rsidRPr="005E5421">
        <w:rPr>
          <w:smallCaps/>
          <w:lang w:val="nl-BE"/>
        </w:rPr>
        <w:t>. Cambie</w:t>
      </w:r>
      <w:r w:rsidRPr="005E5421">
        <w:rPr>
          <w:lang w:val="nl-BE"/>
        </w:rPr>
        <w:t xml:space="preserve">, </w:t>
      </w:r>
      <w:r w:rsidRPr="005E5421">
        <w:rPr>
          <w:i/>
          <w:lang w:val="nl-BE"/>
        </w:rPr>
        <w:t>op. cit.</w:t>
      </w:r>
      <w:r w:rsidRPr="005E5421">
        <w:rPr>
          <w:lang w:val="nl-BE"/>
        </w:rPr>
        <w:t>, 2009, p.265, n° 329 : « </w:t>
      </w:r>
      <w:r w:rsidRPr="005E5421">
        <w:rPr>
          <w:i/>
          <w:lang w:val="nl-BE"/>
        </w:rPr>
        <w:t>Bij het vaststellen van een “conforme levering” zou mogen bedongen worden dat de inontvangstname van de koper eveneens instemming inhoudt met het conform zijn van een product, indien hij daadwerkelijk de mogelijkheid heeft om het product te controleren. Bij sommige zichtbare gebreken die niet direct vaststelbaar zijn bij een vlugge controle, lijkt het krachtens deze bepaling noodzakelijk dat de koper een minimumtermijn  wordt toegekend om na te gaan of het product (of de dienst) zichtbare gebreken vertoont</w:t>
      </w:r>
      <w:r w:rsidRPr="005E5421">
        <w:rPr>
          <w:lang w:val="nl-BE"/>
        </w:rPr>
        <w:t xml:space="preserve"> ». </w:t>
      </w:r>
      <w:r>
        <w:rPr>
          <w:lang w:val="fr-BE"/>
        </w:rPr>
        <w:t>Un délai minimal pourrait, par exemple, s’imposer si l’acquéreur doit démonter et monter lui-même le bien livré dans la mesure où, lors de la livraison, il n’a pas eu la possibilité de vérifier immédiatement la conformité du bien. En matière immobilière, le compromis de vente stipule généralement que « </w:t>
      </w:r>
      <w:r w:rsidRPr="005E5421">
        <w:rPr>
          <w:i/>
          <w:lang w:val="fr-BE"/>
        </w:rPr>
        <w:t>[l]e bien est vendu tel qu’il se trouve et s’étend dans son état à ce jour, bien connu de l’acquéreur, qui déclare l’avoir visité et avoir pris et reçu toute information quant à sa situation, son état et son affectation […]. Le vendeur n’est pas responsable des défauts et vices qui sont apparents</w:t>
      </w:r>
      <w:r>
        <w:rPr>
          <w:lang w:val="fr-BE"/>
        </w:rPr>
        <w:t xml:space="preserve"> ». Il en résulte que l’acquéreur a, à tout le moins, eu la possibilité de « contrôler la conformité » du bien dont question (via notamment des visites), de sorte qu’il nous parait possible de stipuler dans l’acte que l’acquéreur agrée la chose et renonce à invoquer la responsabilité du vendeur pour un éventuel défaut apparent. </w:t>
      </w:r>
      <w:proofErr w:type="spellStart"/>
      <w:r>
        <w:rPr>
          <w:lang w:val="fr-BE"/>
        </w:rPr>
        <w:t>Voy</w:t>
      </w:r>
      <w:proofErr w:type="spellEnd"/>
      <w:r>
        <w:rPr>
          <w:lang w:val="fr-BE"/>
        </w:rPr>
        <w:t xml:space="preserve">. et </w:t>
      </w:r>
      <w:proofErr w:type="spellStart"/>
      <w:r>
        <w:rPr>
          <w:lang w:val="fr-BE"/>
        </w:rPr>
        <w:t>comp</w:t>
      </w:r>
      <w:proofErr w:type="spellEnd"/>
      <w:r>
        <w:rPr>
          <w:lang w:val="fr-BE"/>
        </w:rPr>
        <w:t xml:space="preserve">. avec J. </w:t>
      </w:r>
      <w:proofErr w:type="spellStart"/>
      <w:r>
        <w:rPr>
          <w:lang w:val="fr-BE"/>
        </w:rPr>
        <w:t>Bael</w:t>
      </w:r>
      <w:proofErr w:type="spellEnd"/>
      <w:r>
        <w:rPr>
          <w:lang w:val="fr-BE"/>
        </w:rPr>
        <w:t xml:space="preserve">  qui estime que le vendeur peut, en principe, s’exonérer de sa responsabilité pour vice apparent, de sorte que l’acquéreur ne pourrait plus se prévaloir de l’article VI.83, 15°, afin de disposer d’un délai minimal (à compter de la livraison) pour dénoncer les défauts apparents (</w:t>
      </w:r>
      <w:proofErr w:type="spellStart"/>
      <w:r>
        <w:rPr>
          <w:lang w:val="fr-BE"/>
        </w:rPr>
        <w:t>voy</w:t>
      </w:r>
      <w:proofErr w:type="spellEnd"/>
      <w:r>
        <w:rPr>
          <w:lang w:val="fr-BE"/>
        </w:rPr>
        <w:t>.</w:t>
      </w:r>
      <w:r w:rsidRPr="00290D4E">
        <w:rPr>
          <w:smallCaps/>
          <w:lang w:val="fr-BE"/>
        </w:rPr>
        <w:t xml:space="preserve"> </w:t>
      </w:r>
      <w:r w:rsidRPr="005E5421">
        <w:rPr>
          <w:smallCaps/>
          <w:lang w:val="nl-BE"/>
        </w:rPr>
        <w:t>J. Bael</w:t>
      </w:r>
      <w:r w:rsidRPr="005E5421">
        <w:rPr>
          <w:lang w:val="nl-BE"/>
        </w:rPr>
        <w:t xml:space="preserve">, </w:t>
      </w:r>
      <w:r w:rsidRPr="005E5421">
        <w:rPr>
          <w:i/>
          <w:lang w:val="nl-BE"/>
        </w:rPr>
        <w:t>op. cit.</w:t>
      </w:r>
      <w:r w:rsidRPr="005E5421">
        <w:rPr>
          <w:lang w:val="nl-BE"/>
        </w:rPr>
        <w:t xml:space="preserve">, </w:t>
      </w:r>
      <w:r w:rsidRPr="005E5421">
        <w:rPr>
          <w:i/>
          <w:lang w:val="nl-BE"/>
        </w:rPr>
        <w:t xml:space="preserve">Rechtskroniek voor het Notariaat, </w:t>
      </w:r>
      <w:r w:rsidRPr="005E5421">
        <w:rPr>
          <w:lang w:val="nl-BE"/>
        </w:rPr>
        <w:t xml:space="preserve">Deel 25, 2014, p. </w:t>
      </w:r>
      <w:r>
        <w:rPr>
          <w:lang w:val="nl-BE"/>
        </w:rPr>
        <w:t>183, n° 108).</w:t>
      </w:r>
      <w:r w:rsidRPr="005E5421">
        <w:rPr>
          <w:lang w:val="nl-BE"/>
        </w:rPr>
        <w:t xml:space="preserve"> </w:t>
      </w:r>
    </w:p>
    <w:p w:rsidR="009D2186" w:rsidRPr="005E5421" w:rsidRDefault="009D2186" w:rsidP="005E5421">
      <w:pPr>
        <w:pStyle w:val="Notedebasdepage"/>
        <w:jc w:val="both"/>
        <w:rPr>
          <w:lang w:val="nl-BE"/>
        </w:rPr>
      </w:pPr>
    </w:p>
  </w:footnote>
  <w:footnote w:id="43">
    <w:p w:rsidR="009D2186" w:rsidRPr="00673E18" w:rsidRDefault="009D2186" w:rsidP="005E5421">
      <w:pPr>
        <w:pStyle w:val="Notedebasdepage"/>
        <w:jc w:val="both"/>
        <w:rPr>
          <w:lang w:val="fr-BE"/>
        </w:rPr>
      </w:pPr>
      <w:r w:rsidRPr="005E5421">
        <w:rPr>
          <w:rStyle w:val="Appelnotedebasdep"/>
          <w:lang w:val="fr-BE"/>
        </w:rPr>
        <w:footnoteRef/>
      </w:r>
      <w:r w:rsidRPr="005E5421">
        <w:rPr>
          <w:lang w:val="fr-BE"/>
        </w:rPr>
        <w:t xml:space="preserve"> Les parties pourraient ainsi </w:t>
      </w:r>
      <w:r>
        <w:rPr>
          <w:lang w:val="fr-BE"/>
        </w:rPr>
        <w:t xml:space="preserve">prévoir une compensation conventionnelle alors que certaines des conditions de la compensation légale – en particulier, les exigences de fongibilité, d’exigibilité ou de liquidité – ne sont pas remplies. </w:t>
      </w:r>
    </w:p>
  </w:footnote>
  <w:footnote w:id="44">
    <w:p w:rsidR="009D2186" w:rsidRPr="000633FF" w:rsidRDefault="009D2186" w:rsidP="005E5421">
      <w:pPr>
        <w:pStyle w:val="Notedebasdepage"/>
        <w:jc w:val="both"/>
        <w:rPr>
          <w:lang w:val="fr-BE"/>
        </w:rPr>
      </w:pPr>
      <w:r>
        <w:rPr>
          <w:rStyle w:val="Appelnotedebasdep"/>
        </w:rPr>
        <w:footnoteRef/>
      </w:r>
      <w:r w:rsidRPr="000633FF">
        <w:rPr>
          <w:lang w:val="fr-BE"/>
        </w:rPr>
        <w:t xml:space="preserve"> Liège (12</w:t>
      </w:r>
      <w:r w:rsidRPr="000633FF">
        <w:rPr>
          <w:vertAlign w:val="superscript"/>
          <w:lang w:val="fr-BE"/>
        </w:rPr>
        <w:t>e</w:t>
      </w:r>
      <w:r w:rsidRPr="000633FF">
        <w:rPr>
          <w:lang w:val="fr-BE"/>
        </w:rPr>
        <w:t xml:space="preserve"> ch.), 26 janvier 2007, </w:t>
      </w:r>
      <w:r w:rsidRPr="000633FF">
        <w:rPr>
          <w:i/>
          <w:lang w:val="fr-BE"/>
        </w:rPr>
        <w:t>Dr. banc. fin.</w:t>
      </w:r>
      <w:r w:rsidRPr="000633FF">
        <w:rPr>
          <w:lang w:val="fr-BE"/>
        </w:rPr>
        <w:t xml:space="preserve">, 2007, p. 344, note </w:t>
      </w:r>
      <w:r w:rsidRPr="000633FF">
        <w:rPr>
          <w:smallCaps/>
          <w:lang w:val="fr-BE"/>
        </w:rPr>
        <w:t>E. Van den Haute</w:t>
      </w:r>
      <w:r w:rsidRPr="000633FF">
        <w:rPr>
          <w:lang w:val="fr-BE"/>
        </w:rPr>
        <w:t xml:space="preserve">. </w:t>
      </w:r>
    </w:p>
  </w:footnote>
  <w:footnote w:id="45">
    <w:p w:rsidR="009D2186" w:rsidRPr="001F769C" w:rsidRDefault="009D2186" w:rsidP="00551744">
      <w:pPr>
        <w:pStyle w:val="Notedebasdepage"/>
        <w:jc w:val="both"/>
        <w:rPr>
          <w:lang w:val="fr-BE"/>
        </w:rPr>
      </w:pPr>
      <w:r>
        <w:rPr>
          <w:rStyle w:val="Appelnotedebasdep"/>
        </w:rPr>
        <w:footnoteRef/>
      </w:r>
      <w:r w:rsidRPr="00551744">
        <w:rPr>
          <w:lang w:val="fr-BE"/>
        </w:rPr>
        <w:t xml:space="preserve"> </w:t>
      </w:r>
      <w:r>
        <w:rPr>
          <w:lang w:val="fr-BE"/>
        </w:rPr>
        <w:t xml:space="preserve">B. </w:t>
      </w:r>
      <w:r w:rsidRPr="0002062E">
        <w:rPr>
          <w:smallCaps/>
          <w:lang w:val="fr-BE"/>
        </w:rPr>
        <w:t>Kohl</w:t>
      </w:r>
      <w:r>
        <w:rPr>
          <w:lang w:val="fr-BE"/>
        </w:rPr>
        <w:t xml:space="preserve"> et A. </w:t>
      </w:r>
      <w:proofErr w:type="spellStart"/>
      <w:r w:rsidRPr="0002062E">
        <w:rPr>
          <w:smallCaps/>
          <w:lang w:val="fr-BE"/>
        </w:rPr>
        <w:t>Rigolet</w:t>
      </w:r>
      <w:proofErr w:type="spellEnd"/>
      <w:r>
        <w:rPr>
          <w:lang w:val="fr-BE"/>
        </w:rPr>
        <w:t xml:space="preserve">, </w:t>
      </w:r>
      <w:r w:rsidRPr="00543603">
        <w:rPr>
          <w:i/>
          <w:lang w:val="fr-BE"/>
        </w:rPr>
        <w:t xml:space="preserve">op. </w:t>
      </w:r>
      <w:proofErr w:type="spellStart"/>
      <w:r w:rsidRPr="00543603">
        <w:rPr>
          <w:i/>
          <w:lang w:val="fr-BE"/>
        </w:rPr>
        <w:t>cit</w:t>
      </w:r>
      <w:proofErr w:type="spellEnd"/>
      <w:r>
        <w:rPr>
          <w:lang w:val="fr-BE"/>
        </w:rPr>
        <w:t xml:space="preserve">., </w:t>
      </w:r>
      <w:r w:rsidRPr="0002062E">
        <w:rPr>
          <w:i/>
          <w:lang w:val="fr-BE"/>
        </w:rPr>
        <w:t xml:space="preserve">Le notaire garant de la sécurité juridique. </w:t>
      </w:r>
      <w:r w:rsidRPr="001F769C">
        <w:rPr>
          <w:i/>
          <w:lang w:val="fr-BE"/>
        </w:rPr>
        <w:t>Examen de clauses</w:t>
      </w:r>
      <w:r w:rsidRPr="001F769C">
        <w:rPr>
          <w:lang w:val="fr-BE"/>
        </w:rPr>
        <w:t>, 2016, p. 188, n° 69.</w:t>
      </w:r>
    </w:p>
  </w:footnote>
  <w:footnote w:id="46">
    <w:p w:rsidR="009D2186" w:rsidRPr="001F769C" w:rsidRDefault="009D2186" w:rsidP="00551744">
      <w:pPr>
        <w:pStyle w:val="Notedebasdepage"/>
        <w:jc w:val="both"/>
        <w:rPr>
          <w:i/>
          <w:lang w:val="fr-BE"/>
        </w:rPr>
      </w:pPr>
      <w:r>
        <w:rPr>
          <w:rStyle w:val="Appelnotedebasdep"/>
        </w:rPr>
        <w:footnoteRef/>
      </w:r>
      <w:r w:rsidRPr="001F769C">
        <w:rPr>
          <w:lang w:val="fr-BE"/>
        </w:rPr>
        <w:t xml:space="preserve"> </w:t>
      </w:r>
      <w:proofErr w:type="spellStart"/>
      <w:r w:rsidRPr="001F769C">
        <w:rPr>
          <w:lang w:val="fr-BE"/>
        </w:rPr>
        <w:t>Voy</w:t>
      </w:r>
      <w:proofErr w:type="spellEnd"/>
      <w:r w:rsidRPr="001F769C">
        <w:rPr>
          <w:lang w:val="fr-BE"/>
        </w:rPr>
        <w:t xml:space="preserve">. </w:t>
      </w:r>
      <w:r w:rsidRPr="001F769C">
        <w:rPr>
          <w:smallCaps/>
          <w:lang w:val="fr-BE"/>
        </w:rPr>
        <w:t xml:space="preserve">R. </w:t>
      </w:r>
      <w:proofErr w:type="spellStart"/>
      <w:r w:rsidRPr="001F769C">
        <w:rPr>
          <w:smallCaps/>
          <w:lang w:val="fr-BE"/>
        </w:rPr>
        <w:t>Steennot</w:t>
      </w:r>
      <w:proofErr w:type="spellEnd"/>
      <w:r w:rsidRPr="001F769C">
        <w:rPr>
          <w:lang w:val="fr-BE"/>
        </w:rPr>
        <w:t>, « </w:t>
      </w:r>
      <w:proofErr w:type="spellStart"/>
      <w:r w:rsidRPr="001F769C">
        <w:rPr>
          <w:lang w:val="fr-BE"/>
        </w:rPr>
        <w:t>Commentaar</w:t>
      </w:r>
      <w:proofErr w:type="spellEnd"/>
      <w:r w:rsidRPr="001F769C">
        <w:rPr>
          <w:lang w:val="fr-BE"/>
        </w:rPr>
        <w:t xml:space="preserve"> </w:t>
      </w:r>
      <w:proofErr w:type="spellStart"/>
      <w:r w:rsidRPr="001F769C">
        <w:rPr>
          <w:lang w:val="fr-BE"/>
        </w:rPr>
        <w:t>bij</w:t>
      </w:r>
      <w:proofErr w:type="spellEnd"/>
      <w:r w:rsidRPr="001F769C">
        <w:rPr>
          <w:lang w:val="fr-BE"/>
        </w:rPr>
        <w:t xml:space="preserve"> art. VI.83, 17° WER », </w:t>
      </w:r>
      <w:r w:rsidRPr="001F769C">
        <w:rPr>
          <w:i/>
          <w:lang w:val="fr-BE"/>
        </w:rPr>
        <w:t xml:space="preserve">O.H.R.A., </w:t>
      </w:r>
      <w:r w:rsidRPr="001F769C">
        <w:rPr>
          <w:lang w:val="fr-BE"/>
        </w:rPr>
        <w:t xml:space="preserve">2017, p. 9, n° 4. </w:t>
      </w:r>
    </w:p>
  </w:footnote>
  <w:footnote w:id="47">
    <w:p w:rsidR="009D2186" w:rsidRPr="0081564E" w:rsidRDefault="009D2186" w:rsidP="00043011">
      <w:pPr>
        <w:pStyle w:val="Notedebasdepage"/>
        <w:jc w:val="both"/>
        <w:rPr>
          <w:lang w:val="fr-BE"/>
        </w:rPr>
      </w:pPr>
      <w:r>
        <w:rPr>
          <w:rStyle w:val="Appelnotedebasdep"/>
        </w:rPr>
        <w:footnoteRef/>
      </w:r>
      <w:r>
        <w:rPr>
          <w:lang w:val="fr-BE"/>
        </w:rPr>
        <w:t xml:space="preserve"> </w:t>
      </w:r>
      <w:r>
        <w:rPr>
          <w:lang w:val="fr-BE"/>
        </w:rPr>
        <w:t xml:space="preserve">Commission des clauses abusives (C.C.A. n° 4), </w:t>
      </w:r>
      <w:r w:rsidRPr="0081564E">
        <w:rPr>
          <w:i/>
          <w:lang w:val="fr-BE"/>
        </w:rPr>
        <w:t>Recommandations relatives aux clauses pénales</w:t>
      </w:r>
      <w:r>
        <w:rPr>
          <w:i/>
          <w:lang w:val="fr-BE"/>
        </w:rPr>
        <w:t>,</w:t>
      </w:r>
      <w:r>
        <w:rPr>
          <w:lang w:val="fr-BE"/>
        </w:rPr>
        <w:t xml:space="preserve"> 21 octobre 1997, disponible à l’adresse suivante : </w:t>
      </w:r>
      <w:r w:rsidRPr="0081564E">
        <w:rPr>
          <w:lang w:val="fr-BE"/>
        </w:rPr>
        <w:t>https://economie.fgov.be/sites/default/files/Files/About-SPF/avis-cob-cca/Avis-4-Commission-Clauses-Abusives.pdf</w:t>
      </w:r>
      <w:r>
        <w:rPr>
          <w:lang w:val="fr-BE"/>
        </w:rPr>
        <w:t>.</w:t>
      </w:r>
    </w:p>
  </w:footnote>
  <w:footnote w:id="48">
    <w:p w:rsidR="009D2186" w:rsidRPr="004C5704" w:rsidRDefault="009D2186" w:rsidP="00CE5AFE">
      <w:pPr>
        <w:pStyle w:val="Notedebasdepage"/>
        <w:jc w:val="both"/>
        <w:rPr>
          <w:lang w:val="fr-BE"/>
        </w:rPr>
      </w:pPr>
      <w:r>
        <w:rPr>
          <w:rStyle w:val="Appelnotedebasdep"/>
        </w:rPr>
        <w:footnoteRef/>
      </w:r>
      <w:r w:rsidRPr="004C5704">
        <w:rPr>
          <w:lang w:val="fr-BE"/>
        </w:rPr>
        <w:t xml:space="preserve"> </w:t>
      </w:r>
      <w:r>
        <w:rPr>
          <w:lang w:val="fr-BE"/>
        </w:rPr>
        <w:t>Commission des clauses abusives, avis n° 25 du 28 novembre 2008</w:t>
      </w:r>
      <w:r w:rsidRPr="009A0664">
        <w:rPr>
          <w:lang w:val="fr-BE"/>
        </w:rPr>
        <w:t xml:space="preserve"> sur la réglementation des clauses abusives dans l’avant-projet</w:t>
      </w:r>
      <w:r>
        <w:rPr>
          <w:lang w:val="fr-BE"/>
        </w:rPr>
        <w:t xml:space="preserve"> </w:t>
      </w:r>
      <w:r w:rsidRPr="009A0664">
        <w:rPr>
          <w:lang w:val="fr-BE"/>
        </w:rPr>
        <w:t>de loi relative à certaines pratiques du marché</w:t>
      </w:r>
      <w:r>
        <w:rPr>
          <w:lang w:val="fr-BE"/>
        </w:rPr>
        <w:t xml:space="preserve">, pp. 17-18. </w:t>
      </w:r>
    </w:p>
  </w:footnote>
  <w:footnote w:id="49">
    <w:p w:rsidR="009D2186" w:rsidRPr="001B17D3" w:rsidRDefault="009D2186">
      <w:pPr>
        <w:pStyle w:val="Notedebasdepage"/>
        <w:rPr>
          <w:lang w:val="fr-BE"/>
        </w:rPr>
      </w:pPr>
      <w:r>
        <w:rPr>
          <w:rStyle w:val="Appelnotedebasdep"/>
        </w:rPr>
        <w:footnoteRef/>
      </w:r>
      <w:r w:rsidRPr="001B17D3">
        <w:rPr>
          <w:lang w:val="fr-BE"/>
        </w:rPr>
        <w:t xml:space="preserve"> </w:t>
      </w:r>
      <w:proofErr w:type="spellStart"/>
      <w:r>
        <w:rPr>
          <w:lang w:val="fr-BE"/>
        </w:rPr>
        <w:t>Cass</w:t>
      </w:r>
      <w:proofErr w:type="spellEnd"/>
      <w:r>
        <w:rPr>
          <w:lang w:val="fr-BE"/>
        </w:rPr>
        <w:t>. (1</w:t>
      </w:r>
      <w:r w:rsidRPr="001B17D3">
        <w:rPr>
          <w:vertAlign w:val="superscript"/>
          <w:lang w:val="fr-BE"/>
        </w:rPr>
        <w:t>re</w:t>
      </w:r>
      <w:r>
        <w:rPr>
          <w:lang w:val="fr-BE"/>
        </w:rPr>
        <w:t xml:space="preserve"> ch.), 9 mars 1973, </w:t>
      </w:r>
      <w:r>
        <w:rPr>
          <w:i/>
          <w:lang w:val="fr-BE"/>
        </w:rPr>
        <w:t>Pas.</w:t>
      </w:r>
      <w:r>
        <w:rPr>
          <w:lang w:val="fr-BE"/>
        </w:rPr>
        <w:t xml:space="preserve">, 1973, p. 640 ; </w:t>
      </w:r>
      <w:proofErr w:type="spellStart"/>
      <w:r>
        <w:rPr>
          <w:lang w:val="fr-BE"/>
        </w:rPr>
        <w:t>Cass</w:t>
      </w:r>
      <w:proofErr w:type="spellEnd"/>
      <w:r>
        <w:rPr>
          <w:lang w:val="fr-BE"/>
        </w:rPr>
        <w:t>. (1</w:t>
      </w:r>
      <w:r w:rsidRPr="001B17D3">
        <w:rPr>
          <w:vertAlign w:val="superscript"/>
          <w:lang w:val="fr-BE"/>
        </w:rPr>
        <w:t>re</w:t>
      </w:r>
      <w:r>
        <w:rPr>
          <w:lang w:val="fr-BE"/>
        </w:rPr>
        <w:t xml:space="preserve"> ch.), 22 novembre 1973, </w:t>
      </w:r>
      <w:r>
        <w:rPr>
          <w:i/>
          <w:lang w:val="fr-BE"/>
        </w:rPr>
        <w:t>Pas.</w:t>
      </w:r>
      <w:r>
        <w:rPr>
          <w:lang w:val="fr-BE"/>
        </w:rPr>
        <w:t xml:space="preserve">, 1974, p. 312 ; </w:t>
      </w:r>
      <w:proofErr w:type="spellStart"/>
      <w:r>
        <w:rPr>
          <w:lang w:val="fr-BE"/>
        </w:rPr>
        <w:t>Cass</w:t>
      </w:r>
      <w:proofErr w:type="spellEnd"/>
      <w:r>
        <w:rPr>
          <w:lang w:val="fr-BE"/>
        </w:rPr>
        <w:t>. (1</w:t>
      </w:r>
      <w:r w:rsidRPr="0003258F">
        <w:rPr>
          <w:vertAlign w:val="superscript"/>
          <w:lang w:val="fr-BE"/>
        </w:rPr>
        <w:t>re</w:t>
      </w:r>
      <w:r>
        <w:rPr>
          <w:lang w:val="fr-BE"/>
        </w:rPr>
        <w:t xml:space="preserve"> ch.), 7 juin 2012, </w:t>
      </w:r>
      <w:r>
        <w:rPr>
          <w:i/>
          <w:lang w:val="fr-BE"/>
        </w:rPr>
        <w:t>Pas.</w:t>
      </w:r>
      <w:r>
        <w:rPr>
          <w:lang w:val="fr-BE"/>
        </w:rPr>
        <w:t xml:space="preserve">, 2012, p. 1317 ; </w:t>
      </w:r>
      <w:proofErr w:type="spellStart"/>
      <w:r>
        <w:rPr>
          <w:lang w:val="fr-BE"/>
        </w:rPr>
        <w:t>Cass</w:t>
      </w:r>
      <w:proofErr w:type="spellEnd"/>
      <w:r>
        <w:rPr>
          <w:lang w:val="fr-BE"/>
        </w:rPr>
        <w:t>. (1</w:t>
      </w:r>
      <w:r w:rsidRPr="00F11593">
        <w:rPr>
          <w:vertAlign w:val="superscript"/>
          <w:lang w:val="fr-BE"/>
        </w:rPr>
        <w:t>re</w:t>
      </w:r>
      <w:r>
        <w:rPr>
          <w:lang w:val="fr-BE"/>
        </w:rPr>
        <w:t xml:space="preserve"> ch.), 8 février 2018, </w:t>
      </w:r>
      <w:r>
        <w:rPr>
          <w:i/>
          <w:lang w:val="fr-BE"/>
        </w:rPr>
        <w:t>R.W.</w:t>
      </w:r>
      <w:r>
        <w:rPr>
          <w:lang w:val="fr-BE"/>
        </w:rPr>
        <w:t xml:space="preserve">, 2018-2019, p. 297. ; </w:t>
      </w:r>
      <w:proofErr w:type="spellStart"/>
      <w:r>
        <w:rPr>
          <w:lang w:val="fr-BE"/>
        </w:rPr>
        <w:t>Cass</w:t>
      </w:r>
      <w:proofErr w:type="spellEnd"/>
      <w:r>
        <w:rPr>
          <w:lang w:val="fr-BE"/>
        </w:rPr>
        <w:t>. (1</w:t>
      </w:r>
      <w:r w:rsidRPr="00D600BA">
        <w:rPr>
          <w:vertAlign w:val="superscript"/>
          <w:lang w:val="fr-BE"/>
        </w:rPr>
        <w:t>re</w:t>
      </w:r>
      <w:r>
        <w:rPr>
          <w:lang w:val="fr-BE"/>
        </w:rPr>
        <w:t xml:space="preserve"> ch.), 28 juin 2019, n° C.18.0410.N.</w:t>
      </w:r>
    </w:p>
  </w:footnote>
  <w:footnote w:id="50">
    <w:p w:rsidR="009D2186" w:rsidRPr="00D06ACC" w:rsidRDefault="009D2186" w:rsidP="00CE5AFE">
      <w:pPr>
        <w:pStyle w:val="Notedebasdepage"/>
        <w:jc w:val="both"/>
        <w:rPr>
          <w:lang w:val="fr-BE"/>
        </w:rPr>
      </w:pPr>
      <w:r>
        <w:rPr>
          <w:rStyle w:val="Appelnotedebasdep"/>
        </w:rPr>
        <w:footnoteRef/>
      </w:r>
      <w:r w:rsidRPr="0003258F">
        <w:rPr>
          <w:lang w:val="fr-BE"/>
        </w:rPr>
        <w:t xml:space="preserve"> </w:t>
      </w:r>
      <w:proofErr w:type="spellStart"/>
      <w:r>
        <w:rPr>
          <w:lang w:val="fr-BE"/>
        </w:rPr>
        <w:t>Vo</w:t>
      </w:r>
      <w:r w:rsidRPr="00D06ACC">
        <w:rPr>
          <w:lang w:val="fr-BE"/>
        </w:rPr>
        <w:t>y</w:t>
      </w:r>
      <w:proofErr w:type="spellEnd"/>
      <w:r w:rsidRPr="00D06ACC">
        <w:rPr>
          <w:lang w:val="fr-BE"/>
        </w:rPr>
        <w:t xml:space="preserve">. not. </w:t>
      </w:r>
      <w:proofErr w:type="spellStart"/>
      <w:r w:rsidRPr="00D06ACC">
        <w:rPr>
          <w:lang w:val="fr-BE"/>
        </w:rPr>
        <w:t>Cass</w:t>
      </w:r>
      <w:proofErr w:type="spellEnd"/>
      <w:r w:rsidRPr="00D06ACC">
        <w:rPr>
          <w:lang w:val="fr-BE"/>
        </w:rPr>
        <w:t>. (1</w:t>
      </w:r>
      <w:r w:rsidRPr="00D06ACC">
        <w:rPr>
          <w:vertAlign w:val="superscript"/>
          <w:lang w:val="fr-BE"/>
        </w:rPr>
        <w:t>re</w:t>
      </w:r>
      <w:r w:rsidRPr="00D06ACC">
        <w:rPr>
          <w:lang w:val="fr-BE"/>
        </w:rPr>
        <w:t xml:space="preserve"> ch.), 7 juin 2012, </w:t>
      </w:r>
      <w:r w:rsidRPr="006A62B9">
        <w:rPr>
          <w:i/>
          <w:lang w:val="fr-BE"/>
        </w:rPr>
        <w:t>Pas.</w:t>
      </w:r>
      <w:r w:rsidRPr="006A62B9">
        <w:rPr>
          <w:lang w:val="fr-BE"/>
        </w:rPr>
        <w:t>, 2012, p. 1317 : « </w:t>
      </w:r>
      <w:r w:rsidRPr="00944312">
        <w:rPr>
          <w:i/>
          <w:lang w:val="fr-BE"/>
        </w:rPr>
        <w:t xml:space="preserve">Un contrat à durée indéterminée peut toujours être résilié unilatéralement  moyennant le respect d’un délai raisonnable et une telle résiliation est irrévocable. </w:t>
      </w:r>
      <w:r w:rsidRPr="00944312">
        <w:rPr>
          <w:lang w:val="fr-BE"/>
        </w:rPr>
        <w:t>Par contre, un contrat à durée déterminée ne peut pas, en règle, être résilié unilatéralement […] » (nous soulignons)</w:t>
      </w:r>
      <w:r w:rsidRPr="00695CAD">
        <w:rPr>
          <w:lang w:val="fr-BE"/>
        </w:rPr>
        <w:t>.</w:t>
      </w:r>
    </w:p>
  </w:footnote>
  <w:footnote w:id="51">
    <w:p w:rsidR="009D2186" w:rsidRPr="00944312" w:rsidRDefault="009D2186" w:rsidP="00057EDA">
      <w:pPr>
        <w:pStyle w:val="Notedebasdepage"/>
        <w:jc w:val="both"/>
        <w:rPr>
          <w:lang w:val="nl-BE"/>
        </w:rPr>
      </w:pPr>
      <w:r w:rsidRPr="00D06ACC">
        <w:rPr>
          <w:rStyle w:val="Appelnotedebasdep"/>
        </w:rPr>
        <w:footnoteRef/>
      </w:r>
      <w:r w:rsidRPr="00D06ACC">
        <w:rPr>
          <w:lang w:val="fr-BE"/>
        </w:rPr>
        <w:t xml:space="preserve"> </w:t>
      </w:r>
      <w:proofErr w:type="spellStart"/>
      <w:r w:rsidRPr="00D06ACC">
        <w:rPr>
          <w:lang w:val="fr-BE"/>
        </w:rPr>
        <w:t>Voy</w:t>
      </w:r>
      <w:proofErr w:type="spellEnd"/>
      <w:r w:rsidRPr="00D06ACC">
        <w:rPr>
          <w:lang w:val="fr-BE"/>
        </w:rPr>
        <w:t xml:space="preserve">. Proposition de loi modifiant le Code de droit économique en ce qui concerne l’abus d’une position dominante significative, amendement n° 20 de Mme </w:t>
      </w:r>
      <w:proofErr w:type="spellStart"/>
      <w:r w:rsidRPr="00D06ACC">
        <w:rPr>
          <w:lang w:val="fr-BE"/>
        </w:rPr>
        <w:t>Smaers</w:t>
      </w:r>
      <w:proofErr w:type="spellEnd"/>
      <w:r w:rsidRPr="00D06ACC">
        <w:rPr>
          <w:lang w:val="fr-BE"/>
        </w:rPr>
        <w:t xml:space="preserve"> et consorts, </w:t>
      </w:r>
      <w:r w:rsidRPr="006A62B9">
        <w:rPr>
          <w:i/>
          <w:lang w:val="fr-BE"/>
        </w:rPr>
        <w:t xml:space="preserve">Doc. </w:t>
      </w:r>
      <w:r w:rsidRPr="006A62B9">
        <w:rPr>
          <w:i/>
          <w:lang w:val="nl-BE"/>
        </w:rPr>
        <w:t>Parl</w:t>
      </w:r>
      <w:r w:rsidRPr="00944312">
        <w:rPr>
          <w:lang w:val="nl-BE"/>
        </w:rPr>
        <w:t>, Ch., 2018-2019, n° 54-1451/3, p. 43.</w:t>
      </w:r>
    </w:p>
  </w:footnote>
  <w:footnote w:id="52">
    <w:p w:rsidR="009D2186" w:rsidRPr="00E775FA" w:rsidRDefault="009D2186">
      <w:pPr>
        <w:pStyle w:val="Notedebasdepage"/>
        <w:jc w:val="both"/>
        <w:rPr>
          <w:lang w:val="fr-BE"/>
        </w:rPr>
      </w:pPr>
      <w:r w:rsidRPr="00D06ACC">
        <w:rPr>
          <w:rStyle w:val="Appelnotedebasdep"/>
        </w:rPr>
        <w:footnoteRef/>
      </w:r>
      <w:r w:rsidRPr="00D06ACC">
        <w:rPr>
          <w:lang w:val="nl-BE"/>
        </w:rPr>
        <w:t xml:space="preserve"> Comp. avec </w:t>
      </w:r>
      <w:r w:rsidRPr="00D06ACC">
        <w:rPr>
          <w:smallCaps/>
          <w:lang w:val="nl-BE"/>
        </w:rPr>
        <w:t>N. Janssens</w:t>
      </w:r>
      <w:r w:rsidRPr="00D06ACC">
        <w:rPr>
          <w:lang w:val="nl-BE"/>
        </w:rPr>
        <w:t xml:space="preserve">, </w:t>
      </w:r>
      <w:r w:rsidRPr="006A62B9">
        <w:rPr>
          <w:lang w:val="nl-BE"/>
        </w:rPr>
        <w:t>“Onrechtmatige bedingen tussen ondernemingen</w:t>
      </w:r>
      <w:r w:rsidRPr="00944312">
        <w:rPr>
          <w:lang w:val="nl-BE"/>
        </w:rPr>
        <w:t xml:space="preserve">”, </w:t>
      </w:r>
      <w:r w:rsidRPr="00944312">
        <w:rPr>
          <w:i/>
          <w:lang w:val="nl-BE"/>
        </w:rPr>
        <w:t>Bericht aan het notariaat</w:t>
      </w:r>
      <w:r w:rsidRPr="00944312">
        <w:rPr>
          <w:lang w:val="nl-BE"/>
        </w:rPr>
        <w:t xml:space="preserve">, 2019, pp. 114-115. </w:t>
      </w:r>
      <w:r w:rsidRPr="00944312">
        <w:rPr>
          <w:lang w:val="fr-BE"/>
        </w:rPr>
        <w:t xml:space="preserve">L’auteur se demande comment interpréter les travaux préparatoires. </w:t>
      </w:r>
      <w:r w:rsidRPr="00695CAD">
        <w:rPr>
          <w:lang w:val="fr-BE"/>
        </w:rPr>
        <w:t xml:space="preserve">Dans la mesure où ces derniers font référence </w:t>
      </w:r>
      <w:r w:rsidRPr="00D06ACC">
        <w:rPr>
          <w:lang w:val="fr-BE"/>
        </w:rPr>
        <w:t>aux « clauses de prorogation ou de renouvellement tacite » (avant de préciser que chaque partie dispose d’un</w:t>
      </w:r>
      <w:r>
        <w:rPr>
          <w:lang w:val="fr-BE"/>
        </w:rPr>
        <w:t>e faculté</w:t>
      </w:r>
      <w:r w:rsidRPr="00D06ACC">
        <w:rPr>
          <w:lang w:val="fr-BE"/>
        </w:rPr>
        <w:t xml:space="preserve"> de résili</w:t>
      </w:r>
      <w:r>
        <w:rPr>
          <w:lang w:val="fr-BE"/>
        </w:rPr>
        <w:t>ation</w:t>
      </w:r>
      <w:r w:rsidRPr="00D06ACC">
        <w:rPr>
          <w:lang w:val="fr-BE"/>
        </w:rPr>
        <w:t xml:space="preserve"> unilatérale), l’on pourrait considérer que le législateur entend (seulement) conférer à chaque entreprise le droit de résilier le contrat à durée déterminée, à la fin de la période convenue, et ce moyennant un préavis raisonnable. Interprétée en ce sens, la disposition serait toutefois redondante avec le nouvel article VI.91/5, 2°, du CDE. </w:t>
      </w:r>
      <w:proofErr w:type="spellStart"/>
      <w:r w:rsidRPr="00D06ACC">
        <w:rPr>
          <w:lang w:val="fr-BE"/>
        </w:rPr>
        <w:t>Voy</w:t>
      </w:r>
      <w:proofErr w:type="spellEnd"/>
      <w:r w:rsidRPr="00D06ACC">
        <w:rPr>
          <w:lang w:val="fr-BE"/>
        </w:rPr>
        <w:t xml:space="preserve">. </w:t>
      </w:r>
      <w:proofErr w:type="spellStart"/>
      <w:r w:rsidRPr="00D06ACC">
        <w:rPr>
          <w:lang w:val="fr-BE"/>
        </w:rPr>
        <w:t>ég</w:t>
      </w:r>
      <w:proofErr w:type="spellEnd"/>
      <w:r w:rsidRPr="00D06ACC">
        <w:rPr>
          <w:lang w:val="fr-BE"/>
        </w:rPr>
        <w:t xml:space="preserve">. </w:t>
      </w:r>
      <w:r w:rsidRPr="005E5421">
        <w:rPr>
          <w:smallCaps/>
          <w:lang w:val="fr-BE"/>
        </w:rPr>
        <w:t xml:space="preserve">S. De </w:t>
      </w:r>
      <w:proofErr w:type="spellStart"/>
      <w:r w:rsidRPr="005E5421">
        <w:rPr>
          <w:smallCaps/>
          <w:lang w:val="fr-BE"/>
        </w:rPr>
        <w:t>Pourcq</w:t>
      </w:r>
      <w:proofErr w:type="spellEnd"/>
      <w:r w:rsidRPr="00D06ACC">
        <w:rPr>
          <w:lang w:val="fr-BE"/>
        </w:rPr>
        <w:t xml:space="preserve">, </w:t>
      </w:r>
      <w:r w:rsidRPr="00657D85">
        <w:rPr>
          <w:lang w:val="fr-BE"/>
        </w:rPr>
        <w:t>« </w:t>
      </w:r>
      <w:proofErr w:type="spellStart"/>
      <w:r w:rsidRPr="00657D85">
        <w:rPr>
          <w:lang w:val="fr-BE"/>
        </w:rPr>
        <w:t>Belangrijke</w:t>
      </w:r>
      <w:proofErr w:type="spellEnd"/>
      <w:r w:rsidRPr="00657D85">
        <w:rPr>
          <w:lang w:val="fr-BE"/>
        </w:rPr>
        <w:t xml:space="preserve"> </w:t>
      </w:r>
      <w:proofErr w:type="spellStart"/>
      <w:r w:rsidRPr="00657D85">
        <w:rPr>
          <w:lang w:val="fr-BE"/>
        </w:rPr>
        <w:t>wijzigingen</w:t>
      </w:r>
      <w:proofErr w:type="spellEnd"/>
      <w:r w:rsidRPr="00657D85">
        <w:rPr>
          <w:lang w:val="fr-BE"/>
        </w:rPr>
        <w:t xml:space="preserve"> op </w:t>
      </w:r>
      <w:proofErr w:type="spellStart"/>
      <w:r w:rsidRPr="00657D85">
        <w:rPr>
          <w:lang w:val="fr-BE"/>
        </w:rPr>
        <w:t>komst</w:t>
      </w:r>
      <w:proofErr w:type="spellEnd"/>
      <w:r w:rsidRPr="00657D85">
        <w:rPr>
          <w:lang w:val="fr-BE"/>
        </w:rPr>
        <w:t xml:space="preserve"> </w:t>
      </w:r>
      <w:proofErr w:type="spellStart"/>
      <w:r w:rsidRPr="00657D85">
        <w:rPr>
          <w:lang w:val="fr-BE"/>
        </w:rPr>
        <w:t>voor</w:t>
      </w:r>
      <w:proofErr w:type="spellEnd"/>
      <w:r w:rsidRPr="00657D85">
        <w:rPr>
          <w:lang w:val="fr-BE"/>
        </w:rPr>
        <w:t xml:space="preserve"> de </w:t>
      </w:r>
      <w:proofErr w:type="spellStart"/>
      <w:r w:rsidRPr="00657D85">
        <w:rPr>
          <w:lang w:val="fr-BE"/>
        </w:rPr>
        <w:t>contractuele</w:t>
      </w:r>
      <w:proofErr w:type="spellEnd"/>
      <w:r w:rsidRPr="00657D85">
        <w:rPr>
          <w:lang w:val="fr-BE"/>
        </w:rPr>
        <w:t xml:space="preserve"> </w:t>
      </w:r>
      <w:proofErr w:type="spellStart"/>
      <w:r w:rsidRPr="00657D85">
        <w:rPr>
          <w:lang w:val="fr-BE"/>
        </w:rPr>
        <w:t>verhouding</w:t>
      </w:r>
      <w:proofErr w:type="spellEnd"/>
      <w:r w:rsidRPr="00657D85">
        <w:rPr>
          <w:lang w:val="fr-BE"/>
        </w:rPr>
        <w:t xml:space="preserve"> </w:t>
      </w:r>
      <w:proofErr w:type="spellStart"/>
      <w:r w:rsidRPr="00657D85">
        <w:rPr>
          <w:lang w:val="fr-BE"/>
        </w:rPr>
        <w:t>tussen</w:t>
      </w:r>
      <w:proofErr w:type="spellEnd"/>
      <w:r w:rsidRPr="00657D85">
        <w:rPr>
          <w:lang w:val="fr-BE"/>
        </w:rPr>
        <w:t xml:space="preserve"> </w:t>
      </w:r>
      <w:proofErr w:type="spellStart"/>
      <w:r w:rsidRPr="00657D85">
        <w:rPr>
          <w:lang w:val="fr-BE"/>
        </w:rPr>
        <w:t>ondernemingen</w:t>
      </w:r>
      <w:proofErr w:type="spellEnd"/>
      <w:r w:rsidRPr="00657D85">
        <w:rPr>
          <w:lang w:val="fr-BE"/>
        </w:rPr>
        <w:t xml:space="preserve">: </w:t>
      </w:r>
      <w:proofErr w:type="spellStart"/>
      <w:r w:rsidRPr="00657D85">
        <w:rPr>
          <w:lang w:val="fr-BE"/>
        </w:rPr>
        <w:t>misbruik</w:t>
      </w:r>
      <w:proofErr w:type="spellEnd"/>
      <w:r w:rsidRPr="00657D85">
        <w:rPr>
          <w:lang w:val="fr-BE"/>
        </w:rPr>
        <w:t xml:space="preserve"> van </w:t>
      </w:r>
      <w:proofErr w:type="spellStart"/>
      <w:r w:rsidRPr="00657D85">
        <w:rPr>
          <w:lang w:val="fr-BE"/>
        </w:rPr>
        <w:t>economische</w:t>
      </w:r>
      <w:proofErr w:type="spellEnd"/>
      <w:r w:rsidRPr="00657D85">
        <w:rPr>
          <w:lang w:val="fr-BE"/>
        </w:rPr>
        <w:t xml:space="preserve"> </w:t>
      </w:r>
      <w:proofErr w:type="spellStart"/>
      <w:r w:rsidRPr="00657D85">
        <w:rPr>
          <w:lang w:val="fr-BE"/>
        </w:rPr>
        <w:t>afhankelijkheid</w:t>
      </w:r>
      <w:proofErr w:type="spellEnd"/>
      <w:r w:rsidRPr="00657D85">
        <w:rPr>
          <w:lang w:val="fr-BE"/>
        </w:rPr>
        <w:t xml:space="preserve">, </w:t>
      </w:r>
      <w:proofErr w:type="spellStart"/>
      <w:r w:rsidRPr="00657D85">
        <w:rPr>
          <w:lang w:val="fr-BE"/>
        </w:rPr>
        <w:t>oneerlijke</w:t>
      </w:r>
      <w:proofErr w:type="spellEnd"/>
      <w:r w:rsidRPr="00657D85">
        <w:rPr>
          <w:lang w:val="fr-BE"/>
        </w:rPr>
        <w:t xml:space="preserve"> </w:t>
      </w:r>
      <w:proofErr w:type="spellStart"/>
      <w:r w:rsidRPr="00657D85">
        <w:rPr>
          <w:lang w:val="fr-BE"/>
        </w:rPr>
        <w:t>bedingen</w:t>
      </w:r>
      <w:proofErr w:type="spellEnd"/>
      <w:r w:rsidRPr="00657D85">
        <w:rPr>
          <w:lang w:val="fr-BE"/>
        </w:rPr>
        <w:t xml:space="preserve"> en </w:t>
      </w:r>
      <w:proofErr w:type="spellStart"/>
      <w:r w:rsidRPr="00657D85">
        <w:rPr>
          <w:lang w:val="fr-BE"/>
        </w:rPr>
        <w:t>misleidende</w:t>
      </w:r>
      <w:proofErr w:type="spellEnd"/>
      <w:r w:rsidRPr="00657D85">
        <w:rPr>
          <w:lang w:val="fr-BE"/>
        </w:rPr>
        <w:t xml:space="preserve"> en </w:t>
      </w:r>
      <w:proofErr w:type="spellStart"/>
      <w:r w:rsidRPr="00657D85">
        <w:rPr>
          <w:lang w:val="fr-BE"/>
        </w:rPr>
        <w:t>agressieve</w:t>
      </w:r>
      <w:proofErr w:type="spellEnd"/>
      <w:r w:rsidRPr="00657D85">
        <w:rPr>
          <w:lang w:val="fr-BE"/>
        </w:rPr>
        <w:t xml:space="preserve"> </w:t>
      </w:r>
      <w:proofErr w:type="spellStart"/>
      <w:r w:rsidRPr="00657D85">
        <w:rPr>
          <w:lang w:val="fr-BE"/>
        </w:rPr>
        <w:t>handelspraktijken</w:t>
      </w:r>
      <w:proofErr w:type="spellEnd"/>
      <w:r w:rsidRPr="00657D85">
        <w:rPr>
          <w:lang w:val="fr-BE"/>
        </w:rPr>
        <w:t xml:space="preserve"> </w:t>
      </w:r>
      <w:proofErr w:type="spellStart"/>
      <w:r w:rsidRPr="00657D85">
        <w:rPr>
          <w:lang w:val="fr-BE"/>
        </w:rPr>
        <w:t>worden</w:t>
      </w:r>
      <w:proofErr w:type="spellEnd"/>
      <w:r w:rsidRPr="00657D85">
        <w:rPr>
          <w:lang w:val="fr-BE"/>
        </w:rPr>
        <w:t xml:space="preserve"> </w:t>
      </w:r>
      <w:proofErr w:type="spellStart"/>
      <w:r w:rsidRPr="00657D85">
        <w:rPr>
          <w:lang w:val="fr-BE"/>
        </w:rPr>
        <w:t>verboden</w:t>
      </w:r>
      <w:proofErr w:type="spellEnd"/>
      <w:r w:rsidRPr="005E5421">
        <w:rPr>
          <w:lang w:val="fr-BE"/>
        </w:rPr>
        <w:t xml:space="preserve"> », </w:t>
      </w:r>
      <w:r w:rsidRPr="005E5421">
        <w:rPr>
          <w:i/>
          <w:lang w:val="fr-BE"/>
        </w:rPr>
        <w:t>R.D.C.</w:t>
      </w:r>
      <w:r w:rsidRPr="005E5421">
        <w:rPr>
          <w:lang w:val="fr-BE"/>
        </w:rPr>
        <w:t>, 2019, p. 661, n° 50 qui propose une autre interprétation : ce ne serait que si le contrat (à durée déterminée) prévoyait une faculté de résiliation unilatérale</w:t>
      </w:r>
      <w:r w:rsidRPr="00D06ACC">
        <w:rPr>
          <w:lang w:val="fr-BE"/>
        </w:rPr>
        <w:t xml:space="preserve"> qu’il faudrait permettre à l’entreprise de disposer d’un délai raisonnable</w:t>
      </w:r>
      <w:r w:rsidRPr="005E5421">
        <w:rPr>
          <w:lang w:val="fr-BE"/>
        </w:rPr>
        <w:t xml:space="preserve"> afin de résilier la convention</w:t>
      </w:r>
      <w:r w:rsidRPr="00D06ACC">
        <w:rPr>
          <w:lang w:val="fr-BE"/>
        </w:rPr>
        <w:t xml:space="preserve"> (de manière à ce que cette dernière ne prenne pas fin soudainement)</w:t>
      </w:r>
      <w:r w:rsidRPr="006A62B9">
        <w:rPr>
          <w:lang w:val="fr-BE"/>
        </w:rPr>
        <w:t>.</w:t>
      </w:r>
      <w:r>
        <w:rPr>
          <w:lang w:val="fr-BE"/>
        </w:rPr>
        <w:t xml:space="preserve"> </w:t>
      </w:r>
    </w:p>
  </w:footnote>
  <w:footnote w:id="53">
    <w:p w:rsidR="009D2186" w:rsidRPr="00B82110" w:rsidRDefault="009D2186" w:rsidP="005E5421">
      <w:pPr>
        <w:pStyle w:val="Notedebasdepage"/>
        <w:jc w:val="both"/>
        <w:rPr>
          <w:lang w:val="nl-BE"/>
        </w:rPr>
      </w:pPr>
      <w:r>
        <w:rPr>
          <w:rStyle w:val="Appelnotedebasdep"/>
        </w:rPr>
        <w:footnoteRef/>
      </w:r>
      <w:r w:rsidRPr="00440AE1">
        <w:rPr>
          <w:lang w:val="fr-BE"/>
        </w:rPr>
        <w:t xml:space="preserve"> </w:t>
      </w:r>
      <w:r w:rsidRPr="00FE3EB2">
        <w:rPr>
          <w:smallCaps/>
          <w:lang w:val="fr-BE"/>
        </w:rPr>
        <w:t xml:space="preserve">I. </w:t>
      </w:r>
      <w:proofErr w:type="spellStart"/>
      <w:r w:rsidRPr="00FE3EB2">
        <w:rPr>
          <w:smallCaps/>
          <w:lang w:val="fr-BE"/>
        </w:rPr>
        <w:t>Claeys</w:t>
      </w:r>
      <w:proofErr w:type="spellEnd"/>
      <w:r w:rsidRPr="00FE3EB2">
        <w:rPr>
          <w:lang w:val="fr-BE"/>
        </w:rPr>
        <w:t xml:space="preserve"> et </w:t>
      </w:r>
      <w:r w:rsidRPr="00FE3EB2">
        <w:rPr>
          <w:smallCaps/>
          <w:lang w:val="fr-BE"/>
        </w:rPr>
        <w:t xml:space="preserve">T. </w:t>
      </w:r>
      <w:proofErr w:type="spellStart"/>
      <w:r w:rsidRPr="00FE3EB2">
        <w:rPr>
          <w:smallCaps/>
          <w:lang w:val="fr-BE"/>
        </w:rPr>
        <w:t>Tanghe</w:t>
      </w:r>
      <w:proofErr w:type="spellEnd"/>
      <w:r w:rsidRPr="00FE3EB2">
        <w:rPr>
          <w:lang w:val="fr-BE"/>
        </w:rPr>
        <w:t xml:space="preserve">, </w:t>
      </w:r>
      <w:r w:rsidRPr="00FE3EB2">
        <w:rPr>
          <w:i/>
          <w:lang w:val="fr-BE"/>
        </w:rPr>
        <w:t>op.</w:t>
      </w:r>
      <w:r>
        <w:rPr>
          <w:i/>
          <w:lang w:val="fr-BE"/>
        </w:rPr>
        <w:t xml:space="preserve"> </w:t>
      </w:r>
      <w:proofErr w:type="spellStart"/>
      <w:r>
        <w:rPr>
          <w:i/>
          <w:lang w:val="fr-BE"/>
        </w:rPr>
        <w:t>cit</w:t>
      </w:r>
      <w:proofErr w:type="spellEnd"/>
      <w:r>
        <w:rPr>
          <w:i/>
          <w:lang w:val="fr-BE"/>
        </w:rPr>
        <w:t>.</w:t>
      </w:r>
      <w:r w:rsidRPr="00FE3EB2">
        <w:rPr>
          <w:lang w:val="fr-BE"/>
        </w:rPr>
        <w:t xml:space="preserve">, </w:t>
      </w:r>
      <w:r w:rsidRPr="00FE3EB2">
        <w:rPr>
          <w:i/>
          <w:lang w:val="fr-BE"/>
        </w:rPr>
        <w:t>R.W.</w:t>
      </w:r>
      <w:r w:rsidRPr="00FE3EB2">
        <w:rPr>
          <w:lang w:val="fr-BE"/>
        </w:rPr>
        <w:t xml:space="preserve">, 2019-2020, p. </w:t>
      </w:r>
      <w:r>
        <w:rPr>
          <w:lang w:val="fr-BE"/>
        </w:rPr>
        <w:t xml:space="preserve">338, n° 48. </w:t>
      </w:r>
      <w:r w:rsidRPr="001F769C">
        <w:rPr>
          <w:lang w:val="nl-BE"/>
        </w:rPr>
        <w:t>Voy. ég.</w:t>
      </w:r>
      <w:r w:rsidRPr="001F769C">
        <w:rPr>
          <w:smallCaps/>
          <w:lang w:val="nl-BE"/>
        </w:rPr>
        <w:t xml:space="preserve"> </w:t>
      </w:r>
      <w:r w:rsidRPr="00B82110">
        <w:rPr>
          <w:smallCaps/>
          <w:lang w:val="nl-BE"/>
        </w:rPr>
        <w:t>R. Jafferali</w:t>
      </w:r>
      <w:r w:rsidRPr="00B82110">
        <w:rPr>
          <w:lang w:val="nl-BE"/>
        </w:rPr>
        <w:t xml:space="preserve">, </w:t>
      </w:r>
      <w:r w:rsidRPr="00B82110">
        <w:rPr>
          <w:i/>
          <w:iCs/>
          <w:lang w:val="nl-BE"/>
        </w:rPr>
        <w:t>op. c</w:t>
      </w:r>
      <w:r>
        <w:rPr>
          <w:i/>
          <w:iCs/>
          <w:lang w:val="nl-BE"/>
        </w:rPr>
        <w:t xml:space="preserve">it., </w:t>
      </w:r>
      <w:r w:rsidRPr="00B82110">
        <w:rPr>
          <w:i/>
          <w:lang w:val="nl-BE"/>
        </w:rPr>
        <w:t>J.T.</w:t>
      </w:r>
      <w:r w:rsidRPr="00B82110">
        <w:rPr>
          <w:lang w:val="nl-BE"/>
        </w:rPr>
        <w:t xml:space="preserve">, 2020, </w:t>
      </w:r>
      <w:r>
        <w:rPr>
          <w:lang w:val="nl-BE"/>
        </w:rPr>
        <w:t xml:space="preserve">p. 309, </w:t>
      </w:r>
      <w:r w:rsidRPr="00B82110">
        <w:rPr>
          <w:lang w:val="nl-BE"/>
        </w:rPr>
        <w:t xml:space="preserve">n° 31 ; </w:t>
      </w:r>
      <w:r w:rsidRPr="005D78B8">
        <w:rPr>
          <w:smallCaps/>
          <w:lang w:val="nl-BE"/>
        </w:rPr>
        <w:t>R. Steennot</w:t>
      </w:r>
      <w:r w:rsidRPr="005D78B8">
        <w:rPr>
          <w:lang w:val="nl-BE"/>
        </w:rPr>
        <w:t xml:space="preserve">, « Commentaar bij art. VI.91/5 WER », </w:t>
      </w:r>
      <w:r w:rsidRPr="005D78B8">
        <w:rPr>
          <w:i/>
          <w:lang w:val="nl-BE"/>
        </w:rPr>
        <w:t>O.H.R.A.</w:t>
      </w:r>
      <w:r w:rsidRPr="005D78B8">
        <w:rPr>
          <w:lang w:val="nl-BE"/>
        </w:rPr>
        <w:t>, 2019, p</w:t>
      </w:r>
      <w:r>
        <w:rPr>
          <w:lang w:val="nl-BE"/>
        </w:rPr>
        <w:t>p. 10-11, n° 16 ;</w:t>
      </w:r>
      <w:r w:rsidRPr="005D78B8">
        <w:rPr>
          <w:lang w:val="nl-BE"/>
        </w:rPr>
        <w:t xml:space="preserve"> </w:t>
      </w:r>
      <w:r w:rsidRPr="00B82110">
        <w:rPr>
          <w:smallCaps/>
          <w:lang w:val="nl-BE"/>
        </w:rPr>
        <w:t>J. Stuyck</w:t>
      </w:r>
      <w:r w:rsidRPr="00B82110">
        <w:rPr>
          <w:lang w:val="nl-BE"/>
        </w:rPr>
        <w:t xml:space="preserve">  et </w:t>
      </w:r>
      <w:r w:rsidRPr="00B82110">
        <w:rPr>
          <w:smallCaps/>
          <w:lang w:val="nl-BE"/>
        </w:rPr>
        <w:t>B. Keirsbilck</w:t>
      </w:r>
      <w:r w:rsidRPr="00B82110">
        <w:rPr>
          <w:lang w:val="nl-BE"/>
        </w:rPr>
        <w:t xml:space="preserve">, « De nieuwe Belgische wet met betrekking tot misbruik van economische afhankelijkheid, onrechtmatige bedingen en oneerlijke marktpraktijken tussen ondernemingen: een eerste commentaar », </w:t>
      </w:r>
      <w:r w:rsidRPr="00B82110">
        <w:rPr>
          <w:i/>
          <w:lang w:val="nl-BE"/>
        </w:rPr>
        <w:t xml:space="preserve">SEW, </w:t>
      </w:r>
      <w:r w:rsidRPr="00B82110">
        <w:rPr>
          <w:lang w:val="nl-BE"/>
        </w:rPr>
        <w:t>2019, p. 389, n° 34 : ces auteurs proposent de n’appliquer l’article VI.91/5, 5°, du CDE qu’aux contrats à durée indéterminée.</w:t>
      </w:r>
    </w:p>
  </w:footnote>
  <w:footnote w:id="54">
    <w:p w:rsidR="009D2186" w:rsidRPr="006742B5" w:rsidRDefault="009D2186">
      <w:pPr>
        <w:pStyle w:val="Notedebasdepage"/>
        <w:jc w:val="both"/>
        <w:rPr>
          <w:lang w:val="nl-BE"/>
        </w:rPr>
      </w:pPr>
      <w:r>
        <w:rPr>
          <w:rStyle w:val="Appelnotedebasdep"/>
        </w:rPr>
        <w:footnoteRef/>
      </w:r>
      <w:r w:rsidRPr="000600BC">
        <w:rPr>
          <w:lang w:val="nl-BE"/>
        </w:rPr>
        <w:t xml:space="preserve"> Voy. et comp. </w:t>
      </w:r>
      <w:r w:rsidRPr="000600BC">
        <w:rPr>
          <w:smallCaps/>
          <w:lang w:val="nl-BE"/>
        </w:rPr>
        <w:t>B. Benichou</w:t>
      </w:r>
      <w:r w:rsidRPr="000600BC">
        <w:rPr>
          <w:lang w:val="nl-BE"/>
        </w:rPr>
        <w:t xml:space="preserve">, </w:t>
      </w:r>
      <w:r w:rsidRPr="000600BC">
        <w:rPr>
          <w:i/>
          <w:lang w:val="nl-BE"/>
        </w:rPr>
        <w:t>op. cit.</w:t>
      </w:r>
      <w:r w:rsidRPr="000600BC">
        <w:rPr>
          <w:lang w:val="nl-BE"/>
        </w:rPr>
        <w:t xml:space="preserve">, </w:t>
      </w:r>
      <w:r w:rsidRPr="000600BC">
        <w:rPr>
          <w:i/>
          <w:lang w:val="nl-BE"/>
        </w:rPr>
        <w:t xml:space="preserve">L’entreprise face à ses nouveaux défis / De nieuwe uitdagingen voor de onderneming, </w:t>
      </w:r>
      <w:r w:rsidRPr="00096B7D">
        <w:rPr>
          <w:lang w:val="nl-BE"/>
        </w:rPr>
        <w:t>2019, p. 71 : “</w:t>
      </w:r>
      <w:r w:rsidRPr="00096B7D">
        <w:rPr>
          <w:i/>
          <w:lang w:val="nl-BE"/>
        </w:rPr>
        <w:t xml:space="preserve">In </w:t>
      </w:r>
      <w:r w:rsidRPr="00FB33B5">
        <w:rPr>
          <w:i/>
          <w:lang w:val="nl-BE"/>
        </w:rPr>
        <w:t>de letterlijke bewoordingen is deze beperking ook van toepassing op contracten van bepaalde duur, zelfs als deze een redelijke looptijd hebben. Het lijkt dan ook raadzaam om voorlopig voorzichtigheidshalve in overeenkomsten te rechtvaardigen waarom contracten voor een bepaalde duur afgesloten worden</w:t>
      </w:r>
      <w:r>
        <w:rPr>
          <w:lang w:val="nl-BE"/>
        </w:rPr>
        <w:t>”</w:t>
      </w:r>
      <w:r w:rsidRPr="00FB33B5">
        <w:rPr>
          <w:lang w:val="nl-BE"/>
        </w:rPr>
        <w:t>.</w:t>
      </w:r>
      <w:r>
        <w:rPr>
          <w:lang w:val="nl-BE"/>
        </w:rPr>
        <w:t xml:space="preserve"> </w:t>
      </w:r>
    </w:p>
  </w:footnote>
  <w:footnote w:id="55">
    <w:p w:rsidR="009D2186" w:rsidRPr="005D78B8" w:rsidRDefault="009D2186" w:rsidP="00E77EDF">
      <w:pPr>
        <w:pStyle w:val="Notedebasdepage"/>
        <w:jc w:val="both"/>
        <w:rPr>
          <w:lang w:val="nl-BE"/>
        </w:rPr>
      </w:pPr>
      <w:r>
        <w:rPr>
          <w:rStyle w:val="Appelnotedebasdep"/>
        </w:rPr>
        <w:footnoteRef/>
      </w:r>
      <w:r w:rsidRPr="00E77EDF">
        <w:rPr>
          <w:lang w:val="fr-BE"/>
        </w:rPr>
        <w:t xml:space="preserve"> </w:t>
      </w:r>
      <w:r>
        <w:rPr>
          <w:lang w:val="fr-BE"/>
        </w:rPr>
        <w:t xml:space="preserve">Selon une autre lecture, la disposition légale pourrait signifier qu’une clause de prorogation ou de renouvellement tacite serait présumée abusive lorsqu’elle ne prévoit pas de délai raisonnable de résiliation </w:t>
      </w:r>
      <w:r w:rsidRPr="005E5421">
        <w:rPr>
          <w:i/>
          <w:lang w:val="fr-BE"/>
        </w:rPr>
        <w:t>après</w:t>
      </w:r>
      <w:r>
        <w:rPr>
          <w:lang w:val="fr-BE"/>
        </w:rPr>
        <w:t xml:space="preserve"> que le contrat a été tacitement prorogé ou renouvelé. Il paraitrait cependant curieux d’imposer l’existence d’une faculté de résiliation unilatérale dans un contrat prorogé ou renouvelé tacitement pour une </w:t>
      </w:r>
      <w:r w:rsidRPr="005E5421">
        <w:rPr>
          <w:i/>
          <w:lang w:val="fr-BE"/>
        </w:rPr>
        <w:t>durée déterminée</w:t>
      </w:r>
      <w:r>
        <w:rPr>
          <w:lang w:val="fr-BE"/>
        </w:rPr>
        <w:t xml:space="preserve">. </w:t>
      </w:r>
      <w:proofErr w:type="spellStart"/>
      <w:r>
        <w:rPr>
          <w:lang w:val="fr-BE"/>
        </w:rPr>
        <w:t>Voy</w:t>
      </w:r>
      <w:proofErr w:type="spellEnd"/>
      <w:r>
        <w:rPr>
          <w:lang w:val="fr-BE"/>
        </w:rPr>
        <w:t xml:space="preserve">. </w:t>
      </w:r>
      <w:r w:rsidRPr="00FE3EB2">
        <w:rPr>
          <w:smallCaps/>
          <w:lang w:val="fr-BE"/>
        </w:rPr>
        <w:t xml:space="preserve">I. </w:t>
      </w:r>
      <w:proofErr w:type="spellStart"/>
      <w:r w:rsidRPr="00FE3EB2">
        <w:rPr>
          <w:smallCaps/>
          <w:lang w:val="fr-BE"/>
        </w:rPr>
        <w:t>Claeys</w:t>
      </w:r>
      <w:proofErr w:type="spellEnd"/>
      <w:r w:rsidRPr="00FE3EB2">
        <w:rPr>
          <w:lang w:val="fr-BE"/>
        </w:rPr>
        <w:t xml:space="preserve"> et </w:t>
      </w:r>
      <w:r w:rsidRPr="00FE3EB2">
        <w:rPr>
          <w:smallCaps/>
          <w:lang w:val="fr-BE"/>
        </w:rPr>
        <w:t xml:space="preserve">T. </w:t>
      </w:r>
      <w:proofErr w:type="spellStart"/>
      <w:r w:rsidRPr="00FE3EB2">
        <w:rPr>
          <w:smallCaps/>
          <w:lang w:val="fr-BE"/>
        </w:rPr>
        <w:t>Tanghe</w:t>
      </w:r>
      <w:proofErr w:type="spellEnd"/>
      <w:r w:rsidRPr="00FE3EB2">
        <w:rPr>
          <w:lang w:val="fr-BE"/>
        </w:rPr>
        <w:t xml:space="preserve">, </w:t>
      </w:r>
      <w:r w:rsidRPr="00FE3EB2">
        <w:rPr>
          <w:i/>
          <w:lang w:val="fr-BE"/>
        </w:rPr>
        <w:t>op.</w:t>
      </w:r>
      <w:r>
        <w:rPr>
          <w:i/>
          <w:lang w:val="fr-BE"/>
        </w:rPr>
        <w:t xml:space="preserve"> </w:t>
      </w:r>
      <w:proofErr w:type="spellStart"/>
      <w:r>
        <w:rPr>
          <w:i/>
          <w:lang w:val="fr-BE"/>
        </w:rPr>
        <w:t>cit</w:t>
      </w:r>
      <w:proofErr w:type="spellEnd"/>
      <w:r>
        <w:rPr>
          <w:i/>
          <w:lang w:val="fr-BE"/>
        </w:rPr>
        <w:t>.</w:t>
      </w:r>
      <w:r w:rsidRPr="00FE3EB2">
        <w:rPr>
          <w:lang w:val="fr-BE"/>
        </w:rPr>
        <w:t xml:space="preserve">, </w:t>
      </w:r>
      <w:r w:rsidRPr="00FE3EB2">
        <w:rPr>
          <w:i/>
          <w:lang w:val="fr-BE"/>
        </w:rPr>
        <w:t>R.W.</w:t>
      </w:r>
      <w:r>
        <w:rPr>
          <w:lang w:val="fr-BE"/>
        </w:rPr>
        <w:t xml:space="preserve">, 2019-2020, pp. 338-339, n° 49 qui exposent les différentes interprétations possibles compte tenu de la formulation – ambiguë – du texte légal. </w:t>
      </w:r>
      <w:r w:rsidRPr="001F769C">
        <w:rPr>
          <w:lang w:val="nl-BE"/>
        </w:rPr>
        <w:t xml:space="preserve">Voy. ég. </w:t>
      </w:r>
      <w:r w:rsidRPr="005D78B8">
        <w:rPr>
          <w:smallCaps/>
          <w:lang w:val="nl-BE"/>
        </w:rPr>
        <w:t>R. Jafferali</w:t>
      </w:r>
      <w:r w:rsidRPr="005D78B8">
        <w:rPr>
          <w:lang w:val="nl-BE"/>
        </w:rPr>
        <w:t xml:space="preserve">, </w:t>
      </w:r>
      <w:r w:rsidRPr="005D78B8">
        <w:rPr>
          <w:i/>
          <w:iCs/>
          <w:lang w:val="nl-BE"/>
        </w:rPr>
        <w:t xml:space="preserve">op. cit., </w:t>
      </w:r>
      <w:r w:rsidRPr="005D78B8">
        <w:rPr>
          <w:i/>
          <w:lang w:val="nl-BE"/>
        </w:rPr>
        <w:t>J.T.</w:t>
      </w:r>
      <w:r w:rsidRPr="005D78B8">
        <w:rPr>
          <w:lang w:val="nl-BE"/>
        </w:rPr>
        <w:t>, 2020, pp. 305-306, n° 28</w:t>
      </w:r>
      <w:r>
        <w:rPr>
          <w:lang w:val="nl-BE"/>
        </w:rPr>
        <w:t xml:space="preserve"> ; </w:t>
      </w:r>
      <w:r w:rsidRPr="005D78B8">
        <w:rPr>
          <w:smallCaps/>
          <w:lang w:val="nl-BE"/>
        </w:rPr>
        <w:t>B. Benichou</w:t>
      </w:r>
      <w:r w:rsidRPr="005D78B8">
        <w:rPr>
          <w:lang w:val="nl-BE"/>
        </w:rPr>
        <w:t xml:space="preserve">, </w:t>
      </w:r>
      <w:r w:rsidRPr="005D78B8">
        <w:rPr>
          <w:i/>
          <w:lang w:val="nl-BE"/>
        </w:rPr>
        <w:t>op. cit.</w:t>
      </w:r>
      <w:r w:rsidRPr="005D78B8">
        <w:rPr>
          <w:lang w:val="nl-BE"/>
        </w:rPr>
        <w:t xml:space="preserve">, </w:t>
      </w:r>
      <w:r w:rsidRPr="005D78B8">
        <w:rPr>
          <w:i/>
          <w:lang w:val="nl-BE"/>
        </w:rPr>
        <w:t xml:space="preserve">L’entreprise face à ses nouveaux défis / De nieuwe uitdagingen voor de onderneming, </w:t>
      </w:r>
      <w:r w:rsidRPr="005D78B8">
        <w:rPr>
          <w:lang w:val="nl-BE"/>
        </w:rPr>
        <w:t xml:space="preserve">2019, pp. 67-69 ; </w:t>
      </w:r>
      <w:r w:rsidRPr="005D78B8">
        <w:rPr>
          <w:smallCaps/>
          <w:lang w:val="nl-BE"/>
        </w:rPr>
        <w:t>R. Steennot</w:t>
      </w:r>
      <w:r w:rsidRPr="005D78B8">
        <w:rPr>
          <w:lang w:val="nl-BE"/>
        </w:rPr>
        <w:t xml:space="preserve">, « Commentaar bij art. VI.91/5 WER », </w:t>
      </w:r>
      <w:r w:rsidRPr="005D78B8">
        <w:rPr>
          <w:i/>
          <w:lang w:val="nl-BE"/>
        </w:rPr>
        <w:t>O.H.R.A.</w:t>
      </w:r>
      <w:r w:rsidRPr="005D78B8">
        <w:rPr>
          <w:lang w:val="nl-BE"/>
        </w:rPr>
        <w:t>, 2019, p. 9, n° 14.</w:t>
      </w:r>
    </w:p>
  </w:footnote>
  <w:footnote w:id="56">
    <w:p w:rsidR="009D2186" w:rsidRPr="005D78B8" w:rsidRDefault="009D2186">
      <w:pPr>
        <w:pStyle w:val="Notedebasdepage"/>
        <w:rPr>
          <w:lang w:val="nl-BE"/>
        </w:rPr>
      </w:pPr>
      <w:r>
        <w:rPr>
          <w:rStyle w:val="Appelnotedebasdep"/>
        </w:rPr>
        <w:footnoteRef/>
      </w:r>
      <w:r w:rsidRPr="005D78B8">
        <w:rPr>
          <w:lang w:val="nl-BE"/>
        </w:rPr>
        <w:t xml:space="preserve"> </w:t>
      </w:r>
      <w:r w:rsidRPr="005D78B8">
        <w:rPr>
          <w:lang w:val="nl-BE"/>
        </w:rPr>
        <w:t xml:space="preserve">Voy. </w:t>
      </w:r>
      <w:r w:rsidRPr="005D78B8">
        <w:rPr>
          <w:smallCaps/>
          <w:lang w:val="nl-BE"/>
        </w:rPr>
        <w:t>J. Stuyck</w:t>
      </w:r>
      <w:r w:rsidRPr="005D78B8">
        <w:rPr>
          <w:lang w:val="nl-BE"/>
        </w:rPr>
        <w:t xml:space="preserve">  et </w:t>
      </w:r>
      <w:r w:rsidRPr="005D78B8">
        <w:rPr>
          <w:smallCaps/>
          <w:lang w:val="nl-BE"/>
        </w:rPr>
        <w:t>B. Keirsbilck</w:t>
      </w:r>
      <w:r w:rsidRPr="005D78B8">
        <w:rPr>
          <w:lang w:val="nl-BE"/>
        </w:rPr>
        <w:t xml:space="preserve">, </w:t>
      </w:r>
      <w:r w:rsidRPr="005D78B8">
        <w:rPr>
          <w:i/>
          <w:lang w:val="nl-BE"/>
        </w:rPr>
        <w:t>op. cit.</w:t>
      </w:r>
      <w:r w:rsidRPr="005D78B8">
        <w:rPr>
          <w:lang w:val="nl-BE"/>
        </w:rPr>
        <w:t xml:space="preserve">, </w:t>
      </w:r>
      <w:r w:rsidRPr="005D78B8">
        <w:rPr>
          <w:i/>
          <w:lang w:val="nl-BE"/>
        </w:rPr>
        <w:t xml:space="preserve">SEW, </w:t>
      </w:r>
      <w:r w:rsidRPr="005D78B8">
        <w:rPr>
          <w:lang w:val="nl-BE"/>
        </w:rPr>
        <w:t>2019, p. 388, n° 34.</w:t>
      </w:r>
    </w:p>
  </w:footnote>
  <w:footnote w:id="57">
    <w:p w:rsidR="009D2186" w:rsidRPr="00AC229B" w:rsidRDefault="009D2186" w:rsidP="00E77EDF">
      <w:pPr>
        <w:pStyle w:val="Notedebasdepage"/>
        <w:jc w:val="both"/>
        <w:rPr>
          <w:lang w:val="fr-BE"/>
        </w:rPr>
      </w:pPr>
      <w:r>
        <w:rPr>
          <w:rStyle w:val="Appelnotedebasdep"/>
        </w:rPr>
        <w:footnoteRef/>
      </w:r>
      <w:r w:rsidRPr="00E46188">
        <w:rPr>
          <w:lang w:val="fr-BE"/>
        </w:rPr>
        <w:t xml:space="preserve"> </w:t>
      </w:r>
      <w:proofErr w:type="spellStart"/>
      <w:r>
        <w:rPr>
          <w:lang w:val="fr-BE"/>
        </w:rPr>
        <w:t>Voy</w:t>
      </w:r>
      <w:proofErr w:type="spellEnd"/>
      <w:r>
        <w:rPr>
          <w:lang w:val="fr-BE"/>
        </w:rPr>
        <w:t xml:space="preserve">. </w:t>
      </w:r>
      <w:r w:rsidRPr="00E46188">
        <w:rPr>
          <w:lang w:val="fr-BE"/>
        </w:rPr>
        <w:t>Commission</w:t>
      </w:r>
      <w:r>
        <w:rPr>
          <w:lang w:val="fr-BE"/>
        </w:rPr>
        <w:t xml:space="preserve"> des clauses abusives (C.C.A. n°</w:t>
      </w:r>
      <w:r w:rsidRPr="00E46188">
        <w:rPr>
          <w:lang w:val="fr-BE"/>
        </w:rPr>
        <w:t xml:space="preserve"> 13), </w:t>
      </w:r>
      <w:r w:rsidRPr="00E46188">
        <w:rPr>
          <w:i/>
          <w:lang w:val="fr-BE"/>
        </w:rPr>
        <w:t>Recommandations précitées relatives aux conditions générales des agents immobiliers dans les contrats d’intermédiaires de vente, Bruxelles</w:t>
      </w:r>
      <w:r w:rsidRPr="00E46188">
        <w:rPr>
          <w:lang w:val="fr-BE"/>
        </w:rPr>
        <w:t>, 3 juin</w:t>
      </w:r>
      <w:r>
        <w:rPr>
          <w:lang w:val="fr-BE"/>
        </w:rPr>
        <w:t xml:space="preserve"> </w:t>
      </w:r>
      <w:r w:rsidRPr="00E46188">
        <w:rPr>
          <w:lang w:val="fr-BE"/>
        </w:rPr>
        <w:t xml:space="preserve">2004, p. </w:t>
      </w:r>
      <w:r w:rsidRPr="00E46188">
        <w:rPr>
          <w:lang w:val="fr-BE"/>
        </w:rPr>
        <w:t>10</w:t>
      </w:r>
      <w:r>
        <w:rPr>
          <w:lang w:val="fr-BE"/>
        </w:rPr>
        <w:t xml:space="preserve">, disponible à l’adresse suivante : </w:t>
      </w:r>
      <w:hyperlink r:id="rId2" w:history="1">
        <w:r w:rsidRPr="000A767C">
          <w:rPr>
            <w:rStyle w:val="Lienhypertexte"/>
            <w:lang w:val="fr-BE"/>
          </w:rPr>
          <w:t>https://economie.fgov.be/sites/default/files/Files/About-SPF/avis-cob-cca/Avis-13-Commission-Clauses-Abusives.pdf</w:t>
        </w:r>
      </w:hyperlink>
      <w:r>
        <w:rPr>
          <w:lang w:val="fr-BE"/>
        </w:rPr>
        <w:t xml:space="preserve">. La Commission recommande dès lors, pour ce type de contrats, </w:t>
      </w:r>
      <w:r w:rsidRPr="00AC229B">
        <w:rPr>
          <w:lang w:val="fr-BE"/>
        </w:rPr>
        <w:t>de prévoir une reconduction tacite pour une durée indéterminée,</w:t>
      </w:r>
      <w:r>
        <w:rPr>
          <w:lang w:val="fr-BE"/>
        </w:rPr>
        <w:t xml:space="preserve"> avec mention d’un préavis raisonnable (</w:t>
      </w:r>
      <w:proofErr w:type="spellStart"/>
      <w:r>
        <w:rPr>
          <w:lang w:val="fr-BE"/>
        </w:rPr>
        <w:t>voy</w:t>
      </w:r>
      <w:proofErr w:type="spellEnd"/>
      <w:r>
        <w:rPr>
          <w:lang w:val="fr-BE"/>
        </w:rPr>
        <w:t xml:space="preserve">. </w:t>
      </w:r>
      <w:r>
        <w:rPr>
          <w:i/>
          <w:lang w:val="fr-BE"/>
        </w:rPr>
        <w:t>ibidem</w:t>
      </w:r>
      <w:r>
        <w:rPr>
          <w:lang w:val="fr-BE"/>
        </w:rPr>
        <w:t>, p. 10, recommandation, n° 6).</w:t>
      </w:r>
    </w:p>
  </w:footnote>
  <w:footnote w:id="58">
    <w:p w:rsidR="009D2186" w:rsidRPr="00B23550" w:rsidRDefault="009D2186">
      <w:pPr>
        <w:pStyle w:val="Notedebasdepage"/>
        <w:rPr>
          <w:lang w:val="fr-BE"/>
        </w:rPr>
      </w:pPr>
      <w:r>
        <w:rPr>
          <w:rStyle w:val="Appelnotedebasdep"/>
        </w:rPr>
        <w:footnoteRef/>
      </w:r>
      <w:r w:rsidRPr="00B23550">
        <w:rPr>
          <w:lang w:val="fr-BE"/>
        </w:rPr>
        <w:t xml:space="preserve"> </w:t>
      </w:r>
      <w:r w:rsidRPr="0044600F">
        <w:rPr>
          <w:smallCaps/>
          <w:lang w:val="fr-BE"/>
        </w:rPr>
        <w:t>M. Gouverneur</w:t>
      </w:r>
      <w:r>
        <w:rPr>
          <w:lang w:val="fr-BE"/>
        </w:rPr>
        <w:t>,</w:t>
      </w:r>
      <w:r w:rsidRPr="0044600F">
        <w:rPr>
          <w:lang w:val="fr-BE"/>
        </w:rPr>
        <w:t xml:space="preserve"> </w:t>
      </w:r>
      <w:r>
        <w:rPr>
          <w:lang w:val="fr-BE"/>
        </w:rPr>
        <w:t>« </w:t>
      </w:r>
      <w:r w:rsidRPr="0044600F">
        <w:rPr>
          <w:lang w:val="fr-BE"/>
        </w:rPr>
        <w:t>Les clauses abusives dans les contrats conclus entre les entreprises ou les personnes exerçant une profession libérale et les consommateurs (Volume 2)</w:t>
      </w:r>
      <w:r>
        <w:rPr>
          <w:lang w:val="fr-BE"/>
        </w:rPr>
        <w:t xml:space="preserve"> », </w:t>
      </w:r>
      <w:r w:rsidRPr="0044600F">
        <w:rPr>
          <w:i/>
          <w:lang w:val="fr-BE"/>
        </w:rPr>
        <w:t>Guide juridique de l'entreprise - Traité théorique et pratique</w:t>
      </w:r>
      <w:r>
        <w:rPr>
          <w:lang w:val="fr-BE"/>
        </w:rPr>
        <w:t>, 2017</w:t>
      </w:r>
      <w:r w:rsidRPr="0044600F">
        <w:rPr>
          <w:lang w:val="fr-BE"/>
        </w:rPr>
        <w:t>,</w:t>
      </w:r>
      <w:r>
        <w:rPr>
          <w:lang w:val="fr-BE"/>
        </w:rPr>
        <w:t xml:space="preserve"> pp. 71-72, n° 1210.</w:t>
      </w:r>
    </w:p>
  </w:footnote>
  <w:footnote w:id="59">
    <w:p w:rsidR="009D2186" w:rsidRPr="003B7769" w:rsidRDefault="009D2186" w:rsidP="007C691F">
      <w:pPr>
        <w:pStyle w:val="Notedebasdepage"/>
        <w:jc w:val="both"/>
        <w:rPr>
          <w:lang w:val="fr-BE"/>
        </w:rPr>
      </w:pPr>
      <w:r>
        <w:rPr>
          <w:rStyle w:val="Appelnotedebasdep"/>
        </w:rPr>
        <w:footnoteRef/>
      </w:r>
      <w:r w:rsidRPr="007C691F">
        <w:rPr>
          <w:lang w:val="fr-BE"/>
        </w:rPr>
        <w:t xml:space="preserve"> </w:t>
      </w:r>
      <w:proofErr w:type="spellStart"/>
      <w:r w:rsidRPr="007C691F">
        <w:rPr>
          <w:lang w:val="fr-BE"/>
        </w:rPr>
        <w:t>Voy</w:t>
      </w:r>
      <w:proofErr w:type="spellEnd"/>
      <w:r w:rsidRPr="007C691F">
        <w:rPr>
          <w:lang w:val="fr-BE"/>
        </w:rPr>
        <w:t xml:space="preserve">. </w:t>
      </w:r>
      <w:r w:rsidRPr="0079510A">
        <w:rPr>
          <w:lang w:val="fr-BE"/>
        </w:rPr>
        <w:t xml:space="preserve">P.-Y., </w:t>
      </w:r>
      <w:proofErr w:type="spellStart"/>
      <w:r w:rsidRPr="0079510A">
        <w:rPr>
          <w:smallCaps/>
          <w:lang w:val="fr-BE"/>
        </w:rPr>
        <w:t>Erneux</w:t>
      </w:r>
      <w:proofErr w:type="spellEnd"/>
      <w:r w:rsidRPr="0079510A">
        <w:rPr>
          <w:lang w:val="fr-BE"/>
        </w:rPr>
        <w:t xml:space="preserve">, </w:t>
      </w:r>
      <w:r>
        <w:rPr>
          <w:i/>
          <w:lang w:val="fr-BE"/>
        </w:rPr>
        <w:t xml:space="preserve">op. </w:t>
      </w:r>
      <w:proofErr w:type="spellStart"/>
      <w:r>
        <w:rPr>
          <w:i/>
          <w:lang w:val="fr-BE"/>
        </w:rPr>
        <w:t>cit</w:t>
      </w:r>
      <w:proofErr w:type="spellEnd"/>
      <w:r>
        <w:rPr>
          <w:i/>
          <w:lang w:val="fr-BE"/>
        </w:rPr>
        <w:t>.</w:t>
      </w:r>
      <w:r>
        <w:rPr>
          <w:lang w:val="fr-BE"/>
        </w:rPr>
        <w:t xml:space="preserve">, </w:t>
      </w:r>
      <w:r w:rsidRPr="0079510A">
        <w:rPr>
          <w:i/>
          <w:iCs/>
          <w:lang w:val="fr-BE"/>
        </w:rPr>
        <w:t xml:space="preserve">La vente immobilière.  </w:t>
      </w:r>
      <w:r w:rsidRPr="003B7769">
        <w:rPr>
          <w:i/>
          <w:iCs/>
          <w:lang w:val="fr-BE"/>
        </w:rPr>
        <w:t>Aspects civils, administratifs et fiscaux</w:t>
      </w:r>
      <w:r w:rsidRPr="003B7769">
        <w:rPr>
          <w:lang w:val="fr-BE"/>
        </w:rPr>
        <w:t>, 2010, pp. 312-313, n° 66.</w:t>
      </w:r>
    </w:p>
  </w:footnote>
  <w:footnote w:id="60">
    <w:p w:rsidR="009D2186" w:rsidRPr="00FB07A4" w:rsidRDefault="009D2186">
      <w:pPr>
        <w:pStyle w:val="Notedebasdepage"/>
        <w:rPr>
          <w:lang w:val="fr-BE"/>
        </w:rPr>
      </w:pPr>
      <w:r>
        <w:rPr>
          <w:rStyle w:val="Appelnotedebasdep"/>
        </w:rPr>
        <w:footnoteRef/>
      </w:r>
      <w:r w:rsidRPr="00FB07A4">
        <w:rPr>
          <w:lang w:val="fr-BE"/>
        </w:rPr>
        <w:t xml:space="preserve"> </w:t>
      </w:r>
      <w:proofErr w:type="spellStart"/>
      <w:r w:rsidRPr="00FB07A4">
        <w:rPr>
          <w:lang w:val="fr-BE"/>
        </w:rPr>
        <w:t>Voy</w:t>
      </w:r>
      <w:proofErr w:type="spellEnd"/>
      <w:r w:rsidRPr="00FB07A4">
        <w:rPr>
          <w:lang w:val="fr-BE"/>
        </w:rPr>
        <w:t xml:space="preserve">. </w:t>
      </w:r>
      <w:proofErr w:type="spellStart"/>
      <w:r w:rsidRPr="00FB07A4">
        <w:rPr>
          <w:lang w:val="fr-BE"/>
        </w:rPr>
        <w:t>ég</w:t>
      </w:r>
      <w:proofErr w:type="spellEnd"/>
      <w:r w:rsidRPr="00FB07A4">
        <w:rPr>
          <w:lang w:val="fr-BE"/>
        </w:rPr>
        <w:t xml:space="preserve">. l’article 8.11 du </w:t>
      </w:r>
      <w:r>
        <w:rPr>
          <w:lang w:val="fr-BE"/>
        </w:rPr>
        <w:t>« </w:t>
      </w:r>
      <w:r w:rsidRPr="00FB07A4">
        <w:rPr>
          <w:lang w:val="fr-BE"/>
        </w:rPr>
        <w:t>nouveau</w:t>
      </w:r>
      <w:r>
        <w:rPr>
          <w:lang w:val="fr-BE"/>
        </w:rPr>
        <w:t> »</w:t>
      </w:r>
      <w:r w:rsidRPr="00FB07A4">
        <w:rPr>
          <w:lang w:val="fr-BE"/>
        </w:rPr>
        <w:t xml:space="preserve"> C</w:t>
      </w:r>
      <w:r>
        <w:rPr>
          <w:lang w:val="fr-BE"/>
        </w:rPr>
        <w:t>ode civil (qui entrera en vigueur le 1</w:t>
      </w:r>
      <w:r w:rsidRPr="00FB07A4">
        <w:rPr>
          <w:vertAlign w:val="superscript"/>
          <w:lang w:val="fr-BE"/>
        </w:rPr>
        <w:t>er</w:t>
      </w:r>
      <w:r>
        <w:rPr>
          <w:lang w:val="fr-BE"/>
        </w:rPr>
        <w:t xml:space="preserve"> novembre 2020).</w:t>
      </w:r>
    </w:p>
  </w:footnote>
  <w:footnote w:id="61">
    <w:p w:rsidR="009D2186" w:rsidRPr="00B11392" w:rsidRDefault="009D2186" w:rsidP="0074608A">
      <w:pPr>
        <w:pStyle w:val="Notedebasdepage"/>
        <w:jc w:val="both"/>
        <w:rPr>
          <w:lang w:val="fr-BE"/>
        </w:rPr>
      </w:pPr>
      <w:r>
        <w:rPr>
          <w:rStyle w:val="Appelnotedebasdep"/>
        </w:rPr>
        <w:footnoteRef/>
      </w:r>
      <w:r w:rsidRPr="00B11392">
        <w:rPr>
          <w:lang w:val="fr-BE"/>
        </w:rPr>
        <w:t xml:space="preserve"> L’on rappellera qu</w:t>
      </w:r>
      <w:r>
        <w:rPr>
          <w:lang w:val="fr-BE"/>
        </w:rPr>
        <w:t>’e</w:t>
      </w:r>
      <w:r w:rsidRPr="00B11392">
        <w:rPr>
          <w:lang w:val="fr-BE"/>
        </w:rPr>
        <w:t>n droit commun, il est permis aux parties de déroger au principe de la preuve libre entre entreprises et d</w:t>
      </w:r>
      <w:r>
        <w:rPr>
          <w:lang w:val="fr-BE"/>
        </w:rPr>
        <w:t>’imposer, par exemple, l’un ou l’autre mode de preuve (</w:t>
      </w:r>
      <w:r w:rsidRPr="00FE3EB2">
        <w:rPr>
          <w:smallCaps/>
          <w:lang w:val="fr-BE"/>
        </w:rPr>
        <w:t xml:space="preserve">I. </w:t>
      </w:r>
      <w:proofErr w:type="spellStart"/>
      <w:r w:rsidRPr="00FE3EB2">
        <w:rPr>
          <w:smallCaps/>
          <w:lang w:val="fr-BE"/>
        </w:rPr>
        <w:t>Claeys</w:t>
      </w:r>
      <w:proofErr w:type="spellEnd"/>
      <w:r w:rsidRPr="00FE3EB2">
        <w:rPr>
          <w:lang w:val="fr-BE"/>
        </w:rPr>
        <w:t xml:space="preserve"> et </w:t>
      </w:r>
      <w:r w:rsidRPr="00FE3EB2">
        <w:rPr>
          <w:smallCaps/>
          <w:lang w:val="fr-BE"/>
        </w:rPr>
        <w:t xml:space="preserve">T. </w:t>
      </w:r>
      <w:proofErr w:type="spellStart"/>
      <w:r w:rsidRPr="00FE3EB2">
        <w:rPr>
          <w:smallCaps/>
          <w:lang w:val="fr-BE"/>
        </w:rPr>
        <w:t>Tanghe</w:t>
      </w:r>
      <w:proofErr w:type="spellEnd"/>
      <w:r w:rsidRPr="00FE3EB2">
        <w:rPr>
          <w:lang w:val="fr-BE"/>
        </w:rPr>
        <w:t xml:space="preserve">, </w:t>
      </w:r>
      <w:r w:rsidRPr="00FE3EB2">
        <w:rPr>
          <w:i/>
          <w:lang w:val="fr-BE"/>
        </w:rPr>
        <w:t>op.</w:t>
      </w:r>
      <w:r>
        <w:rPr>
          <w:i/>
          <w:lang w:val="fr-BE"/>
        </w:rPr>
        <w:t xml:space="preserve"> </w:t>
      </w:r>
      <w:proofErr w:type="spellStart"/>
      <w:r>
        <w:rPr>
          <w:i/>
          <w:lang w:val="fr-BE"/>
        </w:rPr>
        <w:t>cit</w:t>
      </w:r>
      <w:proofErr w:type="spellEnd"/>
      <w:r>
        <w:rPr>
          <w:i/>
          <w:lang w:val="fr-BE"/>
        </w:rPr>
        <w:t>.</w:t>
      </w:r>
      <w:r w:rsidRPr="00FE3EB2">
        <w:rPr>
          <w:lang w:val="fr-BE"/>
        </w:rPr>
        <w:t xml:space="preserve">, </w:t>
      </w:r>
      <w:r w:rsidRPr="00FE3EB2">
        <w:rPr>
          <w:i/>
          <w:lang w:val="fr-BE"/>
        </w:rPr>
        <w:t>R.W.</w:t>
      </w:r>
      <w:r w:rsidRPr="00FE3EB2">
        <w:rPr>
          <w:lang w:val="fr-BE"/>
        </w:rPr>
        <w:t>, 2019-2020,</w:t>
      </w:r>
      <w:r>
        <w:rPr>
          <w:lang w:val="fr-BE"/>
        </w:rPr>
        <w:t xml:space="preserve"> p. 341, n° 61). </w:t>
      </w:r>
    </w:p>
  </w:footnote>
  <w:footnote w:id="62">
    <w:p w:rsidR="009D2186" w:rsidRPr="00B43AFC" w:rsidRDefault="009D2186" w:rsidP="00B43AFC">
      <w:pPr>
        <w:pStyle w:val="Notedebasdepage"/>
        <w:jc w:val="both"/>
        <w:rPr>
          <w:lang w:val="fr-BE"/>
        </w:rPr>
      </w:pPr>
      <w:r>
        <w:rPr>
          <w:rStyle w:val="Appelnotedebasdep"/>
        </w:rPr>
        <w:footnoteRef/>
      </w:r>
      <w:r w:rsidRPr="00B43AFC">
        <w:rPr>
          <w:lang w:val="fr-BE"/>
        </w:rPr>
        <w:t xml:space="preserve"> </w:t>
      </w:r>
      <w:proofErr w:type="spellStart"/>
      <w:r w:rsidRPr="00B43AFC">
        <w:rPr>
          <w:lang w:val="fr-BE"/>
        </w:rPr>
        <w:t>Voy</w:t>
      </w:r>
      <w:proofErr w:type="spellEnd"/>
      <w:r w:rsidRPr="00B43AFC">
        <w:rPr>
          <w:lang w:val="fr-BE"/>
        </w:rPr>
        <w:t xml:space="preserve">. et </w:t>
      </w:r>
      <w:proofErr w:type="spellStart"/>
      <w:r w:rsidRPr="00B43AFC">
        <w:rPr>
          <w:lang w:val="fr-BE"/>
        </w:rPr>
        <w:t>comp</w:t>
      </w:r>
      <w:proofErr w:type="spellEnd"/>
      <w:r w:rsidRPr="00B43AFC">
        <w:rPr>
          <w:lang w:val="fr-BE"/>
        </w:rPr>
        <w:t xml:space="preserve">. Avec </w:t>
      </w:r>
      <w:r w:rsidRPr="00657D85">
        <w:rPr>
          <w:smallCaps/>
          <w:lang w:val="fr-BE"/>
        </w:rPr>
        <w:t>D. Philippe</w:t>
      </w:r>
      <w:r>
        <w:rPr>
          <w:lang w:val="fr-BE"/>
        </w:rPr>
        <w:t xml:space="preserve"> et </w:t>
      </w:r>
      <w:r w:rsidRPr="00657D85">
        <w:rPr>
          <w:smallCaps/>
          <w:lang w:val="fr-BE"/>
        </w:rPr>
        <w:t xml:space="preserve">G. </w:t>
      </w:r>
      <w:proofErr w:type="spellStart"/>
      <w:r w:rsidRPr="00657D85">
        <w:rPr>
          <w:smallCaps/>
          <w:lang w:val="fr-BE"/>
        </w:rPr>
        <w:t>Sorreaux</w:t>
      </w:r>
      <w:proofErr w:type="spellEnd"/>
      <w:r>
        <w:rPr>
          <w:lang w:val="fr-BE"/>
        </w:rPr>
        <w:t xml:space="preserve">, </w:t>
      </w:r>
      <w:r>
        <w:rPr>
          <w:i/>
          <w:lang w:val="fr-BE"/>
        </w:rPr>
        <w:t xml:space="preserve">op. </w:t>
      </w:r>
      <w:proofErr w:type="spellStart"/>
      <w:r>
        <w:rPr>
          <w:i/>
          <w:lang w:val="fr-BE"/>
        </w:rPr>
        <w:t>cit</w:t>
      </w:r>
      <w:proofErr w:type="spellEnd"/>
      <w:r>
        <w:rPr>
          <w:i/>
          <w:lang w:val="fr-BE"/>
        </w:rPr>
        <w:t>.</w:t>
      </w:r>
      <w:r>
        <w:rPr>
          <w:lang w:val="fr-BE"/>
        </w:rPr>
        <w:t xml:space="preserve">, </w:t>
      </w:r>
      <w:r>
        <w:rPr>
          <w:i/>
          <w:lang w:val="fr-BE"/>
        </w:rPr>
        <w:t>D.A.O.R.</w:t>
      </w:r>
      <w:r>
        <w:rPr>
          <w:lang w:val="fr-BE"/>
        </w:rPr>
        <w:t xml:space="preserve">, 2019, p. 46. Selon les auteurs, le législateur veut « </w:t>
      </w:r>
      <w:r w:rsidRPr="00B43AFC">
        <w:rPr>
          <w:i/>
          <w:lang w:val="fr-BE"/>
        </w:rPr>
        <w:t>combattre l’unilatéralisme et le déséquilibre</w:t>
      </w:r>
      <w:r>
        <w:rPr>
          <w:lang w:val="fr-BE"/>
        </w:rPr>
        <w:t> ». Par conséquent, </w:t>
      </w:r>
      <w:r w:rsidRPr="00B43AFC">
        <w:rPr>
          <w:lang w:val="fr-BE"/>
        </w:rPr>
        <w:t>rien n’empêche</w:t>
      </w:r>
      <w:r>
        <w:rPr>
          <w:lang w:val="fr-BE"/>
        </w:rPr>
        <w:t xml:space="preserve">, selon eux, « </w:t>
      </w:r>
      <w:r w:rsidRPr="00B43AFC">
        <w:rPr>
          <w:i/>
          <w:lang w:val="fr-BE"/>
        </w:rPr>
        <w:t>que les parties conviennent ensemble que leur contrat futur soit fait par écrit ou devant notaire ; les deux parties sont liées de la même façon en cette hypothèse et il n’est pas question d’unilatéralisme ou de déséquilibre</w:t>
      </w:r>
      <w:r>
        <w:rPr>
          <w:lang w:val="fr-BE"/>
        </w:rPr>
        <w:t xml:space="preserve"> ».  </w:t>
      </w:r>
    </w:p>
  </w:footnote>
  <w:footnote w:id="63">
    <w:p w:rsidR="009D2186" w:rsidRPr="00B57840" w:rsidRDefault="009D2186" w:rsidP="0074608A">
      <w:pPr>
        <w:pStyle w:val="Notedebasdepage"/>
        <w:jc w:val="both"/>
        <w:rPr>
          <w:lang w:val="nl-BE"/>
        </w:rPr>
      </w:pPr>
      <w:r>
        <w:rPr>
          <w:rStyle w:val="Appelnotedebasdep"/>
        </w:rPr>
        <w:footnoteRef/>
      </w:r>
      <w:r w:rsidRPr="00B57840">
        <w:rPr>
          <w:lang w:val="nl-BE"/>
        </w:rPr>
        <w:t xml:space="preserve"> Voy.</w:t>
      </w:r>
      <w:r w:rsidRPr="00B57840">
        <w:rPr>
          <w:smallCaps/>
          <w:lang w:val="nl-BE"/>
        </w:rPr>
        <w:t xml:space="preserve"> </w:t>
      </w:r>
      <w:r w:rsidRPr="00C17D8A">
        <w:rPr>
          <w:smallCaps/>
          <w:lang w:val="nl-BE"/>
        </w:rPr>
        <w:t>N. Janssens</w:t>
      </w:r>
      <w:r w:rsidRPr="00C17D8A">
        <w:rPr>
          <w:lang w:val="nl-BE"/>
        </w:rPr>
        <w:t xml:space="preserve">, </w:t>
      </w:r>
      <w:r>
        <w:rPr>
          <w:lang w:val="nl-BE"/>
        </w:rPr>
        <w:t>“</w:t>
      </w:r>
      <w:r w:rsidRPr="00C17D8A">
        <w:rPr>
          <w:lang w:val="nl-BE"/>
        </w:rPr>
        <w:t>Onrechtmatige bedingen tussen ondernemingen</w:t>
      </w:r>
      <w:r>
        <w:rPr>
          <w:lang w:val="nl-BE"/>
        </w:rPr>
        <w:t xml:space="preserve">”, </w:t>
      </w:r>
      <w:r>
        <w:rPr>
          <w:i/>
          <w:lang w:val="nl-BE"/>
        </w:rPr>
        <w:t>Bericht aan het notariaat</w:t>
      </w:r>
      <w:r>
        <w:rPr>
          <w:lang w:val="nl-BE"/>
        </w:rPr>
        <w:t>, 2019, p. 115</w:t>
      </w:r>
      <w:r w:rsidR="00BB43B4">
        <w:rPr>
          <w:lang w:val="nl-BE"/>
        </w:rPr>
        <w:t xml:space="preserve"> ; </w:t>
      </w:r>
      <w:r w:rsidR="00BB43B4" w:rsidRPr="005D78B8">
        <w:rPr>
          <w:smallCaps/>
          <w:lang w:val="nl-BE"/>
        </w:rPr>
        <w:t>R. Steennot</w:t>
      </w:r>
      <w:r w:rsidR="00BB43B4" w:rsidRPr="005D78B8">
        <w:rPr>
          <w:lang w:val="nl-BE"/>
        </w:rPr>
        <w:t xml:space="preserve">, « Commentaar bij art. VI.91/5 WER », </w:t>
      </w:r>
      <w:r w:rsidR="00BB43B4" w:rsidRPr="005D78B8">
        <w:rPr>
          <w:i/>
          <w:lang w:val="nl-BE"/>
        </w:rPr>
        <w:t>O.H.R.A.</w:t>
      </w:r>
      <w:r w:rsidR="00BB43B4" w:rsidRPr="005D78B8">
        <w:rPr>
          <w:lang w:val="nl-BE"/>
        </w:rPr>
        <w:t xml:space="preserve">, 2019, p. </w:t>
      </w:r>
      <w:r w:rsidR="00BB43B4">
        <w:rPr>
          <w:lang w:val="nl-BE"/>
        </w:rPr>
        <w:t>16, n° 26.</w:t>
      </w:r>
      <w:r w:rsidRPr="00B57840">
        <w:rPr>
          <w:lang w:val="nl-BE"/>
        </w:rPr>
        <w:t xml:space="preserve"> </w:t>
      </w:r>
    </w:p>
  </w:footnote>
  <w:footnote w:id="64">
    <w:p w:rsidR="009D2186" w:rsidRPr="00D36015" w:rsidRDefault="009D2186" w:rsidP="00D36015">
      <w:pPr>
        <w:pStyle w:val="Notedebasdepage"/>
        <w:rPr>
          <w:lang w:val="nl-BE"/>
        </w:rPr>
      </w:pPr>
      <w:r>
        <w:rPr>
          <w:rStyle w:val="Appelnotedebasdep"/>
        </w:rPr>
        <w:footnoteRef/>
      </w:r>
      <w:r w:rsidRPr="00D36015">
        <w:rPr>
          <w:lang w:val="nl-BE"/>
        </w:rPr>
        <w:t xml:space="preserve"> </w:t>
      </w:r>
      <w:r w:rsidRPr="00D36015">
        <w:rPr>
          <w:smallCaps/>
          <w:lang w:val="nl-BE"/>
        </w:rPr>
        <w:t>J. Stuyck</w:t>
      </w:r>
      <w:r w:rsidRPr="00D36015">
        <w:rPr>
          <w:lang w:val="nl-BE"/>
        </w:rPr>
        <w:t xml:space="preserve">  et </w:t>
      </w:r>
      <w:r w:rsidRPr="00D36015">
        <w:rPr>
          <w:smallCaps/>
          <w:lang w:val="nl-BE"/>
        </w:rPr>
        <w:t>B. Keirsbilck</w:t>
      </w:r>
      <w:r w:rsidRPr="00D36015">
        <w:rPr>
          <w:lang w:val="nl-BE"/>
        </w:rPr>
        <w:t xml:space="preserve">, </w:t>
      </w:r>
      <w:r>
        <w:rPr>
          <w:i/>
          <w:lang w:val="nl-BE"/>
        </w:rPr>
        <w:t>op. cit.</w:t>
      </w:r>
      <w:r>
        <w:rPr>
          <w:lang w:val="nl-BE"/>
        </w:rPr>
        <w:t xml:space="preserve">, </w:t>
      </w:r>
      <w:r>
        <w:rPr>
          <w:i/>
          <w:lang w:val="nl-BE"/>
        </w:rPr>
        <w:t xml:space="preserve">SEW, </w:t>
      </w:r>
      <w:r>
        <w:rPr>
          <w:lang w:val="nl-BE"/>
        </w:rPr>
        <w:t>2019, p. 389, n° 34.</w:t>
      </w:r>
    </w:p>
  </w:footnote>
  <w:footnote w:id="65">
    <w:p w:rsidR="009D2186" w:rsidRPr="00A44E5D" w:rsidRDefault="009D2186" w:rsidP="0074608A">
      <w:pPr>
        <w:pStyle w:val="Notedebasdepage"/>
        <w:jc w:val="both"/>
        <w:rPr>
          <w:lang w:val="nl-BE"/>
        </w:rPr>
      </w:pPr>
      <w:r>
        <w:rPr>
          <w:rStyle w:val="Appelnotedebasdep"/>
        </w:rPr>
        <w:footnoteRef/>
      </w:r>
      <w:r w:rsidRPr="00E95B14">
        <w:rPr>
          <w:lang w:val="nl-BE"/>
        </w:rPr>
        <w:t xml:space="preserve"> Voy. </w:t>
      </w:r>
      <w:r w:rsidRPr="00E95B14">
        <w:rPr>
          <w:smallCaps/>
          <w:lang w:val="nl-BE"/>
        </w:rPr>
        <w:t>J. Stuyck</w:t>
      </w:r>
      <w:r>
        <w:rPr>
          <w:lang w:val="nl-BE"/>
        </w:rPr>
        <w:t xml:space="preserve"> et</w:t>
      </w:r>
      <w:r w:rsidRPr="00E95B14">
        <w:rPr>
          <w:lang w:val="nl-BE"/>
        </w:rPr>
        <w:t xml:space="preserve"> </w:t>
      </w:r>
      <w:r w:rsidRPr="00E95B14">
        <w:rPr>
          <w:smallCaps/>
          <w:lang w:val="nl-BE"/>
        </w:rPr>
        <w:t>B. Keirsbilck</w:t>
      </w:r>
      <w:r w:rsidRPr="00E95B14">
        <w:rPr>
          <w:lang w:val="nl-BE"/>
        </w:rPr>
        <w:t xml:space="preserve">, </w:t>
      </w:r>
      <w:r w:rsidRPr="00E95B14">
        <w:rPr>
          <w:i/>
          <w:lang w:val="nl-BE"/>
        </w:rPr>
        <w:t xml:space="preserve">Beginselen van Belgisch privaatrecht. XIII. Handels- en economisch recht. Deel 2. Mededingingsrecht. </w:t>
      </w:r>
      <w:r w:rsidRPr="00A44E5D">
        <w:rPr>
          <w:i/>
          <w:lang w:val="nl-BE"/>
        </w:rPr>
        <w:t>A. Handelspraktijken en contracten met consumenten</w:t>
      </w:r>
      <w:r w:rsidRPr="00A44E5D">
        <w:rPr>
          <w:lang w:val="nl-BE"/>
        </w:rPr>
        <w:t>, Mechelen, Kluwer, 2019, p. 631.</w:t>
      </w:r>
    </w:p>
  </w:footnote>
  <w:footnote w:id="66">
    <w:p w:rsidR="009D2186" w:rsidRPr="005E6A0F" w:rsidRDefault="009D2186">
      <w:pPr>
        <w:pStyle w:val="Notedebasdepage"/>
        <w:rPr>
          <w:lang w:val="fr-BE"/>
        </w:rPr>
      </w:pPr>
      <w:r>
        <w:rPr>
          <w:rStyle w:val="Appelnotedebasdep"/>
        </w:rPr>
        <w:footnoteRef/>
      </w:r>
      <w:r w:rsidRPr="005E6A0F">
        <w:t xml:space="preserve"> </w:t>
      </w:r>
      <w:proofErr w:type="spellStart"/>
      <w:r w:rsidRPr="005E6A0F">
        <w:t>Voy</w:t>
      </w:r>
      <w:proofErr w:type="spellEnd"/>
      <w:r w:rsidRPr="005E6A0F">
        <w:t xml:space="preserve">. not. </w:t>
      </w:r>
      <w:r w:rsidRPr="005E6A0F">
        <w:rPr>
          <w:smallCaps/>
        </w:rPr>
        <w:t xml:space="preserve">R. </w:t>
      </w:r>
      <w:proofErr w:type="spellStart"/>
      <w:r w:rsidRPr="005E6A0F">
        <w:rPr>
          <w:smallCaps/>
        </w:rPr>
        <w:t>Steennot</w:t>
      </w:r>
      <w:proofErr w:type="spellEnd"/>
      <w:r w:rsidRPr="005E6A0F">
        <w:t>, « </w:t>
      </w:r>
      <w:proofErr w:type="spellStart"/>
      <w:r w:rsidRPr="005E6A0F">
        <w:t>Commentaar</w:t>
      </w:r>
      <w:proofErr w:type="spellEnd"/>
      <w:r w:rsidRPr="005E6A0F">
        <w:t xml:space="preserve"> </w:t>
      </w:r>
      <w:proofErr w:type="spellStart"/>
      <w:r w:rsidRPr="005E6A0F">
        <w:t>bij</w:t>
      </w:r>
      <w:proofErr w:type="spellEnd"/>
      <w:r w:rsidRPr="005E6A0F">
        <w:t xml:space="preserve"> art. </w:t>
      </w:r>
      <w:r w:rsidRPr="005E6A0F">
        <w:rPr>
          <w:lang w:val="fr-BE"/>
        </w:rPr>
        <w:t xml:space="preserve">VI.91/4 WER », </w:t>
      </w:r>
      <w:r w:rsidRPr="005E6A0F">
        <w:rPr>
          <w:i/>
          <w:lang w:val="fr-BE"/>
        </w:rPr>
        <w:t>O.H.R.A.</w:t>
      </w:r>
      <w:r w:rsidRPr="005E6A0F">
        <w:rPr>
          <w:lang w:val="fr-BE"/>
        </w:rPr>
        <w:t xml:space="preserve">, 2019, pp. 4 à 6, </w:t>
      </w:r>
      <w:proofErr w:type="spellStart"/>
      <w:r w:rsidRPr="005E6A0F">
        <w:rPr>
          <w:lang w:val="fr-BE"/>
        </w:rPr>
        <w:t>spec</w:t>
      </w:r>
      <w:proofErr w:type="spellEnd"/>
      <w:r w:rsidRPr="005E6A0F">
        <w:rPr>
          <w:lang w:val="fr-BE"/>
        </w:rPr>
        <w:t xml:space="preserve">. </w:t>
      </w:r>
      <w:r>
        <w:rPr>
          <w:lang w:val="fr-BE"/>
        </w:rPr>
        <w:t>n° 9.</w:t>
      </w:r>
    </w:p>
  </w:footnote>
  <w:footnote w:id="67">
    <w:p w:rsidR="009D2186" w:rsidRPr="00FB07A4" w:rsidRDefault="009D2186">
      <w:pPr>
        <w:pStyle w:val="Notedebasdepage"/>
        <w:rPr>
          <w:lang w:val="fr-BE"/>
        </w:rPr>
      </w:pPr>
      <w:r>
        <w:rPr>
          <w:rStyle w:val="Appelnotedebasdep"/>
        </w:rPr>
        <w:footnoteRef/>
      </w:r>
      <w:r w:rsidRPr="00FB07A4">
        <w:rPr>
          <w:lang w:val="fr-BE"/>
        </w:rPr>
        <w:t xml:space="preserve"> </w:t>
      </w:r>
      <w:r>
        <w:rPr>
          <w:lang w:val="fr-BE"/>
        </w:rPr>
        <w:t>J.P. Anvers (2</w:t>
      </w:r>
      <w:r w:rsidRPr="00FB07A4">
        <w:rPr>
          <w:vertAlign w:val="superscript"/>
          <w:lang w:val="fr-BE"/>
        </w:rPr>
        <w:t>e</w:t>
      </w:r>
      <w:r>
        <w:rPr>
          <w:lang w:val="fr-BE"/>
        </w:rPr>
        <w:t xml:space="preserve"> cant.), 2 janvier 2014, </w:t>
      </w:r>
      <w:r>
        <w:rPr>
          <w:i/>
          <w:lang w:val="fr-BE"/>
        </w:rPr>
        <w:t>R.W.</w:t>
      </w:r>
      <w:r>
        <w:rPr>
          <w:lang w:val="fr-BE"/>
        </w:rPr>
        <w:t>, 2016-2017, p. 833.</w:t>
      </w:r>
    </w:p>
  </w:footnote>
  <w:footnote w:id="68">
    <w:p w:rsidR="009D2186" w:rsidRPr="000B3629" w:rsidRDefault="009D2186" w:rsidP="005E5421">
      <w:pPr>
        <w:pStyle w:val="Notedebasdepage"/>
        <w:jc w:val="both"/>
        <w:rPr>
          <w:lang w:val="fr-BE"/>
        </w:rPr>
      </w:pPr>
      <w:r>
        <w:rPr>
          <w:rStyle w:val="Appelnotedebasdep"/>
        </w:rPr>
        <w:footnoteRef/>
      </w:r>
      <w:r w:rsidRPr="00306500">
        <w:rPr>
          <w:lang w:val="fr-BE"/>
        </w:rPr>
        <w:t xml:space="preserve"> </w:t>
      </w:r>
      <w:r>
        <w:rPr>
          <w:lang w:val="fr-BE"/>
        </w:rPr>
        <w:t>Selon la plupart des auteurs, il parait surprenant d’interdire la clause d’arbitrage dans la mesure où cette dernière n’exclut pas</w:t>
      </w:r>
      <w:r>
        <w:rPr>
          <w:i/>
          <w:lang w:val="fr-BE"/>
        </w:rPr>
        <w:t> tout</w:t>
      </w:r>
      <w:r>
        <w:rPr>
          <w:lang w:val="fr-BE"/>
        </w:rPr>
        <w:t xml:space="preserve"> moyen de recours contre l’entreprise : </w:t>
      </w:r>
      <w:proofErr w:type="spellStart"/>
      <w:r>
        <w:rPr>
          <w:lang w:val="fr-BE"/>
        </w:rPr>
        <w:t>voy</w:t>
      </w:r>
      <w:proofErr w:type="spellEnd"/>
      <w:r>
        <w:rPr>
          <w:lang w:val="fr-BE"/>
        </w:rPr>
        <w:t xml:space="preserve">. </w:t>
      </w:r>
      <w:r w:rsidRPr="00FE3EB2">
        <w:rPr>
          <w:smallCaps/>
          <w:lang w:val="fr-BE"/>
        </w:rPr>
        <w:t xml:space="preserve">I. </w:t>
      </w:r>
      <w:proofErr w:type="spellStart"/>
      <w:r w:rsidRPr="00FE3EB2">
        <w:rPr>
          <w:smallCaps/>
          <w:lang w:val="fr-BE"/>
        </w:rPr>
        <w:t>Claeys</w:t>
      </w:r>
      <w:proofErr w:type="spellEnd"/>
      <w:r w:rsidRPr="00FE3EB2">
        <w:rPr>
          <w:lang w:val="fr-BE"/>
        </w:rPr>
        <w:t xml:space="preserve"> et </w:t>
      </w:r>
      <w:r w:rsidRPr="00FE3EB2">
        <w:rPr>
          <w:smallCaps/>
          <w:lang w:val="fr-BE"/>
        </w:rPr>
        <w:t xml:space="preserve">T. </w:t>
      </w:r>
      <w:proofErr w:type="spellStart"/>
      <w:r w:rsidRPr="00FE3EB2">
        <w:rPr>
          <w:smallCaps/>
          <w:lang w:val="fr-BE"/>
        </w:rPr>
        <w:t>Tanghe</w:t>
      </w:r>
      <w:proofErr w:type="spellEnd"/>
      <w:r w:rsidRPr="00FE3EB2">
        <w:rPr>
          <w:lang w:val="fr-BE"/>
        </w:rPr>
        <w:t xml:space="preserve">, </w:t>
      </w:r>
      <w:r w:rsidRPr="00FE3EB2">
        <w:rPr>
          <w:i/>
          <w:lang w:val="fr-BE"/>
        </w:rPr>
        <w:t>op.</w:t>
      </w:r>
      <w:r>
        <w:rPr>
          <w:i/>
          <w:lang w:val="fr-BE"/>
        </w:rPr>
        <w:t xml:space="preserve"> </w:t>
      </w:r>
      <w:proofErr w:type="spellStart"/>
      <w:r>
        <w:rPr>
          <w:i/>
          <w:lang w:val="fr-BE"/>
        </w:rPr>
        <w:t>cit</w:t>
      </w:r>
      <w:proofErr w:type="spellEnd"/>
      <w:r>
        <w:rPr>
          <w:i/>
          <w:lang w:val="fr-BE"/>
        </w:rPr>
        <w:t>.</w:t>
      </w:r>
      <w:r w:rsidRPr="00FE3EB2">
        <w:rPr>
          <w:lang w:val="fr-BE"/>
        </w:rPr>
        <w:t xml:space="preserve">, </w:t>
      </w:r>
      <w:r w:rsidRPr="00FE3EB2">
        <w:rPr>
          <w:i/>
          <w:lang w:val="fr-BE"/>
        </w:rPr>
        <w:t>R.W.</w:t>
      </w:r>
      <w:r w:rsidRPr="00FE3EB2">
        <w:rPr>
          <w:lang w:val="fr-BE"/>
        </w:rPr>
        <w:t xml:space="preserve">, 2019-2020, p. </w:t>
      </w:r>
      <w:r>
        <w:rPr>
          <w:lang w:val="fr-BE"/>
        </w:rPr>
        <w:t xml:space="preserve">334, n° 36 ;  </w:t>
      </w:r>
      <w:r w:rsidRPr="00B82110">
        <w:rPr>
          <w:smallCaps/>
          <w:lang w:val="fr-BE"/>
        </w:rPr>
        <w:t xml:space="preserve">R. </w:t>
      </w:r>
      <w:proofErr w:type="spellStart"/>
      <w:r w:rsidRPr="00B82110">
        <w:rPr>
          <w:smallCaps/>
          <w:lang w:val="fr-BE"/>
        </w:rPr>
        <w:t>Jafferali</w:t>
      </w:r>
      <w:proofErr w:type="spellEnd"/>
      <w:r w:rsidRPr="00B82110">
        <w:rPr>
          <w:lang w:val="fr-BE"/>
        </w:rPr>
        <w:t xml:space="preserve">, </w:t>
      </w:r>
      <w:r w:rsidRPr="00B82110">
        <w:rPr>
          <w:i/>
          <w:iCs/>
          <w:lang w:val="fr-BE"/>
        </w:rPr>
        <w:t xml:space="preserve">op. </w:t>
      </w:r>
      <w:proofErr w:type="spellStart"/>
      <w:r w:rsidRPr="00B82110">
        <w:rPr>
          <w:i/>
          <w:iCs/>
          <w:lang w:val="fr-BE"/>
        </w:rPr>
        <w:t>cit</w:t>
      </w:r>
      <w:proofErr w:type="spellEnd"/>
      <w:r w:rsidRPr="00B82110">
        <w:rPr>
          <w:i/>
          <w:iCs/>
          <w:lang w:val="fr-BE"/>
        </w:rPr>
        <w:t xml:space="preserve">., </w:t>
      </w:r>
      <w:r w:rsidRPr="00B82110">
        <w:rPr>
          <w:i/>
          <w:lang w:val="fr-BE"/>
        </w:rPr>
        <w:t>J.T.</w:t>
      </w:r>
      <w:r w:rsidRPr="00B82110">
        <w:rPr>
          <w:lang w:val="fr-BE"/>
        </w:rPr>
        <w:t xml:space="preserve">, 2020, p. </w:t>
      </w:r>
      <w:r>
        <w:rPr>
          <w:lang w:val="fr-BE"/>
        </w:rPr>
        <w:t>304, n° 25 qui « </w:t>
      </w:r>
      <w:r w:rsidRPr="005E5421">
        <w:rPr>
          <w:i/>
          <w:lang w:val="fr-BE"/>
        </w:rPr>
        <w:t>peine à imaginer que le législateur aurait entendu interdire radicalement l’arbitrage dans les rapports B2B</w:t>
      </w:r>
      <w:r>
        <w:rPr>
          <w:lang w:val="fr-BE"/>
        </w:rPr>
        <w:t> » ; M</w:t>
      </w:r>
      <w:r w:rsidRPr="005E5421">
        <w:rPr>
          <w:smallCaps/>
          <w:lang w:val="fr-BE"/>
        </w:rPr>
        <w:t xml:space="preserve">. </w:t>
      </w:r>
      <w:proofErr w:type="spellStart"/>
      <w:r w:rsidRPr="005E5421">
        <w:rPr>
          <w:smallCaps/>
          <w:lang w:val="fr-BE"/>
        </w:rPr>
        <w:t>Berlingin</w:t>
      </w:r>
      <w:proofErr w:type="spellEnd"/>
      <w:r>
        <w:rPr>
          <w:lang w:val="fr-BE"/>
        </w:rPr>
        <w:t xml:space="preserve">, </w:t>
      </w:r>
      <w:r w:rsidRPr="005E5421">
        <w:rPr>
          <w:lang w:val="fr-BE"/>
        </w:rPr>
        <w:t>« La clause d’arbitrage dans les contrats entre entreprises n’est pas abusive »,</w:t>
      </w:r>
      <w:r>
        <w:rPr>
          <w:lang w:val="fr-BE"/>
        </w:rPr>
        <w:t xml:space="preserve"> </w:t>
      </w:r>
      <w:r>
        <w:rPr>
          <w:i/>
          <w:lang w:val="fr-BE"/>
        </w:rPr>
        <w:t>J.T.</w:t>
      </w:r>
      <w:r>
        <w:rPr>
          <w:lang w:val="fr-BE"/>
        </w:rPr>
        <w:t>, 2020, p.  174, n° 6 : « </w:t>
      </w:r>
      <w:r w:rsidRPr="005E5421">
        <w:rPr>
          <w:i/>
          <w:lang w:val="fr-BE"/>
        </w:rPr>
        <w:t>Il n’est, en conséquence, pas question de priver une partie de tout moyen de recours en présence d’une clause d’arbitrage</w:t>
      </w:r>
      <w:r>
        <w:rPr>
          <w:lang w:val="fr-BE"/>
        </w:rPr>
        <w:t xml:space="preserve"> » ; </w:t>
      </w:r>
      <w:r w:rsidRPr="00657D85">
        <w:rPr>
          <w:smallCaps/>
          <w:lang w:val="fr-BE"/>
        </w:rPr>
        <w:t>D. Philippe</w:t>
      </w:r>
      <w:r>
        <w:rPr>
          <w:lang w:val="fr-BE"/>
        </w:rPr>
        <w:t xml:space="preserve"> et </w:t>
      </w:r>
      <w:r w:rsidRPr="00657D85">
        <w:rPr>
          <w:smallCaps/>
          <w:lang w:val="fr-BE"/>
        </w:rPr>
        <w:t xml:space="preserve">G. </w:t>
      </w:r>
      <w:proofErr w:type="spellStart"/>
      <w:r w:rsidRPr="00657D85">
        <w:rPr>
          <w:smallCaps/>
          <w:lang w:val="fr-BE"/>
        </w:rPr>
        <w:t>Sorreaux</w:t>
      </w:r>
      <w:proofErr w:type="spellEnd"/>
      <w:r>
        <w:rPr>
          <w:lang w:val="fr-BE"/>
        </w:rPr>
        <w:t xml:space="preserve">, </w:t>
      </w:r>
      <w:r>
        <w:rPr>
          <w:i/>
          <w:lang w:val="fr-BE"/>
        </w:rPr>
        <w:t xml:space="preserve">op. </w:t>
      </w:r>
      <w:proofErr w:type="spellStart"/>
      <w:r>
        <w:rPr>
          <w:i/>
          <w:lang w:val="fr-BE"/>
        </w:rPr>
        <w:t>cit</w:t>
      </w:r>
      <w:proofErr w:type="spellEnd"/>
      <w:r>
        <w:rPr>
          <w:i/>
          <w:lang w:val="fr-BE"/>
        </w:rPr>
        <w:t>.</w:t>
      </w:r>
      <w:r>
        <w:rPr>
          <w:lang w:val="fr-BE"/>
        </w:rPr>
        <w:t xml:space="preserve">, </w:t>
      </w:r>
      <w:r>
        <w:rPr>
          <w:i/>
          <w:lang w:val="fr-BE"/>
        </w:rPr>
        <w:t>D.A.O.R.</w:t>
      </w:r>
      <w:r>
        <w:rPr>
          <w:lang w:val="fr-BE"/>
        </w:rPr>
        <w:t xml:space="preserve">, 2019, p. 41 ; </w:t>
      </w:r>
      <w:r w:rsidRPr="005E6A0F">
        <w:rPr>
          <w:smallCaps/>
          <w:lang w:val="fr-BE"/>
        </w:rPr>
        <w:t xml:space="preserve">R. </w:t>
      </w:r>
      <w:proofErr w:type="spellStart"/>
      <w:r w:rsidRPr="005E6A0F">
        <w:rPr>
          <w:smallCaps/>
          <w:lang w:val="fr-BE"/>
        </w:rPr>
        <w:t>Steennot</w:t>
      </w:r>
      <w:proofErr w:type="spellEnd"/>
      <w:r w:rsidRPr="005E6A0F">
        <w:rPr>
          <w:lang w:val="fr-BE"/>
        </w:rPr>
        <w:t>, « </w:t>
      </w:r>
      <w:proofErr w:type="spellStart"/>
      <w:r w:rsidRPr="005E6A0F">
        <w:rPr>
          <w:lang w:val="fr-BE"/>
        </w:rPr>
        <w:t>Commentaar</w:t>
      </w:r>
      <w:proofErr w:type="spellEnd"/>
      <w:r w:rsidRPr="005E6A0F">
        <w:rPr>
          <w:lang w:val="fr-BE"/>
        </w:rPr>
        <w:t xml:space="preserve"> </w:t>
      </w:r>
      <w:proofErr w:type="spellStart"/>
      <w:r w:rsidRPr="005E6A0F">
        <w:rPr>
          <w:lang w:val="fr-BE"/>
        </w:rPr>
        <w:t>bij</w:t>
      </w:r>
      <w:proofErr w:type="spellEnd"/>
      <w:r w:rsidRPr="005E6A0F">
        <w:rPr>
          <w:lang w:val="fr-BE"/>
        </w:rPr>
        <w:t xml:space="preserve"> art. </w:t>
      </w:r>
      <w:r w:rsidRPr="00D23B33">
        <w:rPr>
          <w:lang w:val="fr-BE"/>
        </w:rPr>
        <w:t xml:space="preserve">VI.91/4 WER », </w:t>
      </w:r>
      <w:r w:rsidRPr="00D23B33">
        <w:rPr>
          <w:i/>
          <w:lang w:val="fr-BE"/>
        </w:rPr>
        <w:t>O.H.R.A.</w:t>
      </w:r>
      <w:r w:rsidRPr="00D23B33">
        <w:rPr>
          <w:lang w:val="fr-BE"/>
        </w:rPr>
        <w:t>, 2019, p.</w:t>
      </w:r>
      <w:r>
        <w:rPr>
          <w:lang w:val="fr-BE"/>
        </w:rPr>
        <w:t xml:space="preserve"> 5, n° 8.</w:t>
      </w:r>
    </w:p>
  </w:footnote>
  <w:footnote w:id="69">
    <w:p w:rsidR="009D2186" w:rsidRPr="005E5421" w:rsidRDefault="009D2186">
      <w:pPr>
        <w:pStyle w:val="Notedebasdepage"/>
        <w:rPr>
          <w:lang w:val="fr-BE"/>
        </w:rPr>
      </w:pPr>
      <w:r>
        <w:rPr>
          <w:rStyle w:val="Appelnotedebasdep"/>
        </w:rPr>
        <w:footnoteRef/>
      </w:r>
      <w:r w:rsidRPr="005E5421">
        <w:rPr>
          <w:lang w:val="fr-BE"/>
        </w:rPr>
        <w:t xml:space="preserve"> </w:t>
      </w:r>
      <w:r>
        <w:rPr>
          <w:lang w:val="fr-BE"/>
        </w:rPr>
        <w:t xml:space="preserve">Cette solution est toutefois uniquement applicable aux entités qualifiées dont la liste est établie par le SPF </w:t>
      </w:r>
      <w:proofErr w:type="spellStart"/>
      <w:r>
        <w:rPr>
          <w:lang w:val="fr-BE"/>
        </w:rPr>
        <w:t>Economie</w:t>
      </w:r>
      <w:proofErr w:type="spellEnd"/>
      <w:r>
        <w:rPr>
          <w:lang w:val="fr-BE"/>
        </w:rPr>
        <w:t xml:space="preserve">. </w:t>
      </w:r>
    </w:p>
  </w:footnote>
  <w:footnote w:id="70">
    <w:p w:rsidR="009D2186" w:rsidRPr="005E5421" w:rsidRDefault="009D2186" w:rsidP="005E5421">
      <w:pPr>
        <w:pStyle w:val="Notedebasdepage"/>
        <w:jc w:val="both"/>
        <w:rPr>
          <w:lang w:val="fr-BE"/>
        </w:rPr>
      </w:pPr>
      <w:r>
        <w:rPr>
          <w:rStyle w:val="Appelnotedebasdep"/>
        </w:rPr>
        <w:footnoteRef/>
      </w:r>
      <w:r w:rsidRPr="005E5421">
        <w:rPr>
          <w:lang w:val="fr-BE"/>
        </w:rPr>
        <w:t xml:space="preserve"> </w:t>
      </w:r>
      <w:proofErr w:type="spellStart"/>
      <w:r>
        <w:rPr>
          <w:lang w:val="fr-BE"/>
        </w:rPr>
        <w:t>Voy</w:t>
      </w:r>
      <w:proofErr w:type="spellEnd"/>
      <w:r>
        <w:rPr>
          <w:lang w:val="fr-BE"/>
        </w:rPr>
        <w:t xml:space="preserve">. et </w:t>
      </w:r>
      <w:proofErr w:type="spellStart"/>
      <w:r>
        <w:rPr>
          <w:lang w:val="fr-BE"/>
        </w:rPr>
        <w:t>comp</w:t>
      </w:r>
      <w:proofErr w:type="spellEnd"/>
      <w:r>
        <w:rPr>
          <w:lang w:val="fr-BE"/>
        </w:rPr>
        <w:t xml:space="preserve">. </w:t>
      </w:r>
      <w:r w:rsidRPr="000600BC">
        <w:rPr>
          <w:lang w:val="fr-BE"/>
        </w:rPr>
        <w:t>C.J.C.E., arr</w:t>
      </w:r>
      <w:r>
        <w:rPr>
          <w:lang w:val="fr-BE"/>
        </w:rPr>
        <w:t xml:space="preserve">êt </w:t>
      </w:r>
      <w:proofErr w:type="spellStart"/>
      <w:r w:rsidRPr="005E5421">
        <w:rPr>
          <w:i/>
          <w:lang w:val="fr-BE"/>
        </w:rPr>
        <w:t>Oceano</w:t>
      </w:r>
      <w:proofErr w:type="spellEnd"/>
      <w:r w:rsidRPr="005E5421">
        <w:rPr>
          <w:i/>
          <w:lang w:val="fr-BE"/>
        </w:rPr>
        <w:t xml:space="preserve"> Grupo </w:t>
      </w:r>
      <w:proofErr w:type="spellStart"/>
      <w:r w:rsidRPr="005E5421">
        <w:rPr>
          <w:i/>
          <w:lang w:val="fr-BE"/>
        </w:rPr>
        <w:t>Editorial</w:t>
      </w:r>
      <w:proofErr w:type="spellEnd"/>
      <w:r w:rsidRPr="005E5421">
        <w:rPr>
          <w:i/>
          <w:lang w:val="fr-BE"/>
        </w:rPr>
        <w:t xml:space="preserve"> SA et </w:t>
      </w:r>
      <w:proofErr w:type="spellStart"/>
      <w:r w:rsidRPr="005E5421">
        <w:rPr>
          <w:i/>
          <w:lang w:val="fr-BE"/>
        </w:rPr>
        <w:t>Salvat</w:t>
      </w:r>
      <w:proofErr w:type="spellEnd"/>
      <w:r w:rsidRPr="005E5421">
        <w:rPr>
          <w:i/>
          <w:lang w:val="fr-BE"/>
        </w:rPr>
        <w:t xml:space="preserve"> </w:t>
      </w:r>
      <w:proofErr w:type="spellStart"/>
      <w:r w:rsidRPr="005E5421">
        <w:rPr>
          <w:i/>
          <w:lang w:val="fr-BE"/>
        </w:rPr>
        <w:t>Editores</w:t>
      </w:r>
      <w:proofErr w:type="spellEnd"/>
      <w:r w:rsidRPr="005E5421">
        <w:rPr>
          <w:i/>
          <w:lang w:val="fr-BE"/>
        </w:rPr>
        <w:t xml:space="preserve"> SA c. </w:t>
      </w:r>
      <w:proofErr w:type="spellStart"/>
      <w:r w:rsidRPr="005E5421">
        <w:rPr>
          <w:i/>
          <w:lang w:val="fr-BE"/>
        </w:rPr>
        <w:t>Rocio</w:t>
      </w:r>
      <w:proofErr w:type="spellEnd"/>
      <w:r w:rsidRPr="005E5421">
        <w:rPr>
          <w:i/>
          <w:lang w:val="fr-BE"/>
        </w:rPr>
        <w:t xml:space="preserve"> </w:t>
      </w:r>
      <w:proofErr w:type="spellStart"/>
      <w:r w:rsidRPr="005E5421">
        <w:rPr>
          <w:i/>
          <w:lang w:val="fr-BE"/>
        </w:rPr>
        <w:t>Murciano</w:t>
      </w:r>
      <w:proofErr w:type="spellEnd"/>
      <w:r w:rsidRPr="005E5421">
        <w:rPr>
          <w:i/>
          <w:lang w:val="fr-BE"/>
        </w:rPr>
        <w:t xml:space="preserve"> </w:t>
      </w:r>
      <w:proofErr w:type="spellStart"/>
      <w:r w:rsidRPr="005E5421">
        <w:rPr>
          <w:i/>
          <w:lang w:val="fr-BE"/>
        </w:rPr>
        <w:t>Quintero</w:t>
      </w:r>
      <w:proofErr w:type="spellEnd"/>
      <w:r w:rsidRPr="005E5421">
        <w:rPr>
          <w:i/>
          <w:lang w:val="fr-BE"/>
        </w:rPr>
        <w:t xml:space="preserve"> et consorts</w:t>
      </w:r>
      <w:r w:rsidRPr="005E5421">
        <w:rPr>
          <w:lang w:val="fr-BE"/>
        </w:rPr>
        <w:t xml:space="preserve">, </w:t>
      </w:r>
      <w:r>
        <w:rPr>
          <w:lang w:val="fr-BE"/>
        </w:rPr>
        <w:t xml:space="preserve">27 juin 2000, </w:t>
      </w:r>
      <w:r w:rsidRPr="005E5421">
        <w:rPr>
          <w:lang w:val="fr-BE"/>
        </w:rPr>
        <w:t xml:space="preserve">C-240/98 et C-244/98 </w:t>
      </w:r>
      <w:r w:rsidRPr="000600BC">
        <w:rPr>
          <w:lang w:val="fr-BE"/>
        </w:rPr>
        <w:t xml:space="preserve">ECLI:EU:C:2000:346, </w:t>
      </w:r>
      <w:proofErr w:type="spellStart"/>
      <w:r w:rsidRPr="000600BC">
        <w:rPr>
          <w:lang w:val="fr-BE"/>
        </w:rPr>
        <w:t>spéc</w:t>
      </w:r>
      <w:proofErr w:type="spellEnd"/>
      <w:r w:rsidRPr="000600BC">
        <w:rPr>
          <w:lang w:val="fr-BE"/>
        </w:rPr>
        <w:t xml:space="preserve">. </w:t>
      </w:r>
      <w:r>
        <w:rPr>
          <w:lang w:val="fr-BE"/>
        </w:rPr>
        <w:t>point 25 : « </w:t>
      </w:r>
      <w:r w:rsidRPr="005E5421">
        <w:rPr>
          <w:i/>
          <w:lang w:val="fr-BE"/>
        </w:rPr>
        <w:t>Il s’ensuit qu’une clause attributive de juridiction, qui est insérée sans avoir fait l’objet d'une négociation individuelle dans un contrat conclu entre un consommateur et un professionnel et qui confère compétence exclusive au tribunal dans le ressort duquel est situé le siège du</w:t>
      </w:r>
      <w:r w:rsidRPr="00096B7D">
        <w:rPr>
          <w:lang w:val="fr-BE"/>
        </w:rPr>
        <w:t xml:space="preserve"> </w:t>
      </w:r>
      <w:r w:rsidRPr="005E5421">
        <w:rPr>
          <w:i/>
          <w:lang w:val="fr-BE"/>
        </w:rPr>
        <w:t xml:space="preserve">professionnel, doit être considérée comme abusive au sens de l'article 3 de la directive, dans la mesure où elle crée, en dépit </w:t>
      </w:r>
      <w:r w:rsidRPr="00E937FF">
        <w:rPr>
          <w:i/>
          <w:lang w:val="fr-BE"/>
        </w:rPr>
        <w:t>de l</w:t>
      </w:r>
      <w:r>
        <w:rPr>
          <w:i/>
          <w:lang w:val="fr-BE"/>
        </w:rPr>
        <w:t>’</w:t>
      </w:r>
      <w:r w:rsidRPr="005E5421">
        <w:rPr>
          <w:i/>
          <w:lang w:val="fr-BE"/>
        </w:rPr>
        <w:t>exigence de bonne foi, au détriment du consommateur un déséquilibre significatif entre les droits et les obligations des parties découlant du contrat</w:t>
      </w:r>
      <w:r>
        <w:rPr>
          <w:lang w:val="fr-BE"/>
        </w:rPr>
        <w:t xml:space="preserve"> ». </w:t>
      </w:r>
    </w:p>
  </w:footnote>
  <w:footnote w:id="71">
    <w:p w:rsidR="009D2186" w:rsidRPr="002B1E5A" w:rsidRDefault="009D2186" w:rsidP="005E5421">
      <w:pPr>
        <w:pStyle w:val="Notedebasdepage"/>
        <w:jc w:val="both"/>
        <w:rPr>
          <w:lang w:val="fr-BE"/>
        </w:rPr>
      </w:pPr>
      <w:r>
        <w:rPr>
          <w:rStyle w:val="Appelnotedebasdep"/>
        </w:rPr>
        <w:footnoteRef/>
      </w:r>
      <w:r w:rsidRPr="005E5421">
        <w:rPr>
          <w:lang w:val="fr-BE"/>
        </w:rPr>
        <w:t xml:space="preserve"> </w:t>
      </w:r>
      <w:r>
        <w:rPr>
          <w:lang w:val="fr-BE"/>
        </w:rPr>
        <w:t>En matière B2C, la Cour de justice a exclu la possibilité pour le juge de neutraliser uniquement l’élément illicite de la clause considérée comme abusive, en maintenant cette dernière pour le surplus. Elle a, en effet, considéré que cette technique de « réduction » (nullité partielle au sein de la clause) pourrait porter atteinte à l’effet dissuasif de la réglementation (</w:t>
      </w:r>
      <w:proofErr w:type="spellStart"/>
      <w:r>
        <w:rPr>
          <w:lang w:val="fr-BE"/>
        </w:rPr>
        <w:t>voy</w:t>
      </w:r>
      <w:proofErr w:type="spellEnd"/>
      <w:r>
        <w:rPr>
          <w:lang w:val="fr-BE"/>
        </w:rPr>
        <w:t xml:space="preserve">. not. </w:t>
      </w:r>
      <w:r w:rsidRPr="00C06602">
        <w:rPr>
          <w:lang w:val="fr-BE"/>
        </w:rPr>
        <w:t xml:space="preserve">C.J.U.E., </w:t>
      </w:r>
      <w:r>
        <w:rPr>
          <w:lang w:val="fr-BE"/>
        </w:rPr>
        <w:t>arrêt</w:t>
      </w:r>
      <w:r w:rsidRPr="005E5421">
        <w:rPr>
          <w:lang w:val="fr-BE"/>
        </w:rPr>
        <w:t xml:space="preserve"> </w:t>
      </w:r>
      <w:r w:rsidRPr="005E5421">
        <w:rPr>
          <w:i/>
          <w:lang w:val="fr-BE"/>
        </w:rPr>
        <w:t xml:space="preserve">Nationale </w:t>
      </w:r>
      <w:proofErr w:type="spellStart"/>
      <w:r w:rsidRPr="005E5421">
        <w:rPr>
          <w:i/>
          <w:lang w:val="fr-BE"/>
        </w:rPr>
        <w:t>Maatschappij</w:t>
      </w:r>
      <w:proofErr w:type="spellEnd"/>
      <w:r w:rsidRPr="005E5421">
        <w:rPr>
          <w:i/>
          <w:lang w:val="fr-BE"/>
        </w:rPr>
        <w:t xml:space="preserve"> der </w:t>
      </w:r>
      <w:proofErr w:type="spellStart"/>
      <w:r w:rsidRPr="005E5421">
        <w:rPr>
          <w:i/>
          <w:lang w:val="fr-BE"/>
        </w:rPr>
        <w:t>Belgische</w:t>
      </w:r>
      <w:proofErr w:type="spellEnd"/>
      <w:r w:rsidRPr="005E5421">
        <w:rPr>
          <w:i/>
          <w:lang w:val="fr-BE"/>
        </w:rPr>
        <w:t xml:space="preserve"> </w:t>
      </w:r>
      <w:proofErr w:type="spellStart"/>
      <w:r w:rsidRPr="005E5421">
        <w:rPr>
          <w:i/>
          <w:lang w:val="fr-BE"/>
        </w:rPr>
        <w:t>Spoorwegen</w:t>
      </w:r>
      <w:proofErr w:type="spellEnd"/>
      <w:r w:rsidRPr="005E5421">
        <w:rPr>
          <w:i/>
          <w:lang w:val="fr-BE"/>
        </w:rPr>
        <w:t xml:space="preserve"> (NMBS)</w:t>
      </w:r>
      <w:r>
        <w:rPr>
          <w:lang w:val="fr-BE"/>
        </w:rPr>
        <w:t xml:space="preserve"> </w:t>
      </w:r>
      <w:r w:rsidRPr="005E5421">
        <w:rPr>
          <w:i/>
          <w:lang w:val="fr-BE"/>
        </w:rPr>
        <w:t>c</w:t>
      </w:r>
      <w:r>
        <w:rPr>
          <w:lang w:val="fr-BE"/>
        </w:rPr>
        <w:t xml:space="preserve">. </w:t>
      </w:r>
      <w:proofErr w:type="spellStart"/>
      <w:r w:rsidRPr="005E5421">
        <w:rPr>
          <w:i/>
          <w:lang w:val="fr-BE"/>
        </w:rPr>
        <w:t>Mbutuku</w:t>
      </w:r>
      <w:proofErr w:type="spellEnd"/>
      <w:r w:rsidRPr="005E5421">
        <w:rPr>
          <w:i/>
          <w:lang w:val="fr-BE"/>
        </w:rPr>
        <w:t xml:space="preserve"> </w:t>
      </w:r>
      <w:proofErr w:type="spellStart"/>
      <w:r w:rsidRPr="00C06602">
        <w:rPr>
          <w:i/>
          <w:iCs/>
          <w:lang w:val="fr-BE"/>
        </w:rPr>
        <w:t>Kanyeba</w:t>
      </w:r>
      <w:proofErr w:type="spellEnd"/>
      <w:r w:rsidRPr="00C06602">
        <w:rPr>
          <w:lang w:val="fr-BE"/>
        </w:rPr>
        <w:t>, </w:t>
      </w:r>
      <w:r>
        <w:rPr>
          <w:lang w:val="fr-BE"/>
        </w:rPr>
        <w:t xml:space="preserve">7 novembre 2019, </w:t>
      </w:r>
      <w:r w:rsidRPr="00C06602">
        <w:rPr>
          <w:lang w:val="fr-BE"/>
        </w:rPr>
        <w:t>C-349/18, ECLI:EU:C:2019:936, point</w:t>
      </w:r>
      <w:r>
        <w:rPr>
          <w:lang w:val="fr-BE"/>
        </w:rPr>
        <w:t>s</w:t>
      </w:r>
      <w:r w:rsidRPr="00C06602">
        <w:rPr>
          <w:lang w:val="fr-BE"/>
        </w:rPr>
        <w:t> </w:t>
      </w:r>
      <w:r>
        <w:rPr>
          <w:lang w:val="fr-BE"/>
        </w:rPr>
        <w:t xml:space="preserve">67 et s., et réf. citées).  </w:t>
      </w:r>
      <w:proofErr w:type="spellStart"/>
      <w:r>
        <w:rPr>
          <w:lang w:val="fr-BE"/>
        </w:rPr>
        <w:t>Voy</w:t>
      </w:r>
      <w:proofErr w:type="spellEnd"/>
      <w:r>
        <w:rPr>
          <w:lang w:val="fr-BE"/>
        </w:rPr>
        <w:t xml:space="preserve">. </w:t>
      </w:r>
      <w:proofErr w:type="spellStart"/>
      <w:r>
        <w:rPr>
          <w:lang w:val="fr-BE"/>
        </w:rPr>
        <w:t>ég</w:t>
      </w:r>
      <w:proofErr w:type="spellEnd"/>
      <w:r>
        <w:rPr>
          <w:lang w:val="fr-BE"/>
        </w:rPr>
        <w:t xml:space="preserve">. </w:t>
      </w:r>
      <w:r w:rsidRPr="005E5421">
        <w:rPr>
          <w:smallCaps/>
          <w:lang w:val="fr-BE"/>
        </w:rPr>
        <w:t xml:space="preserve">S. </w:t>
      </w:r>
      <w:proofErr w:type="spellStart"/>
      <w:r w:rsidRPr="005E5421">
        <w:rPr>
          <w:smallCaps/>
          <w:lang w:val="fr-BE"/>
        </w:rPr>
        <w:t>Lagasse</w:t>
      </w:r>
      <w:proofErr w:type="spellEnd"/>
      <w:r>
        <w:rPr>
          <w:lang w:val="fr-BE"/>
        </w:rPr>
        <w:t>, « </w:t>
      </w:r>
      <w:r w:rsidRPr="008772D4">
        <w:rPr>
          <w:lang w:val="fr-BE"/>
        </w:rPr>
        <w:t>Vers un affinement de la jurisprudence en matière</w:t>
      </w:r>
      <w:r>
        <w:rPr>
          <w:lang w:val="fr-BE"/>
        </w:rPr>
        <w:t xml:space="preserve"> </w:t>
      </w:r>
      <w:r w:rsidRPr="008772D4">
        <w:rPr>
          <w:lang w:val="fr-BE"/>
        </w:rPr>
        <w:t>de nullité partielle ?</w:t>
      </w:r>
      <w:r>
        <w:rPr>
          <w:lang w:val="fr-BE"/>
        </w:rPr>
        <w:t xml:space="preserve"> », </w:t>
      </w:r>
      <w:r>
        <w:rPr>
          <w:i/>
          <w:lang w:val="fr-BE"/>
        </w:rPr>
        <w:t>R.G.D.C.</w:t>
      </w:r>
      <w:r>
        <w:rPr>
          <w:lang w:val="fr-BE"/>
        </w:rPr>
        <w:t xml:space="preserve">, 2019, pp. 442 à 445 ; </w:t>
      </w:r>
      <w:r w:rsidRPr="00657D85">
        <w:rPr>
          <w:smallCaps/>
          <w:lang w:val="fr-BE"/>
        </w:rPr>
        <w:t>D. Philippe</w:t>
      </w:r>
      <w:r>
        <w:rPr>
          <w:lang w:val="fr-BE"/>
        </w:rPr>
        <w:t xml:space="preserve"> et </w:t>
      </w:r>
      <w:r w:rsidRPr="00657D85">
        <w:rPr>
          <w:smallCaps/>
          <w:lang w:val="fr-BE"/>
        </w:rPr>
        <w:t xml:space="preserve">G. </w:t>
      </w:r>
      <w:proofErr w:type="spellStart"/>
      <w:r w:rsidRPr="00657D85">
        <w:rPr>
          <w:smallCaps/>
          <w:lang w:val="fr-BE"/>
        </w:rPr>
        <w:t>Sorreaux</w:t>
      </w:r>
      <w:proofErr w:type="spellEnd"/>
      <w:r>
        <w:rPr>
          <w:lang w:val="fr-BE"/>
        </w:rPr>
        <w:t xml:space="preserve">, </w:t>
      </w:r>
      <w:r>
        <w:rPr>
          <w:i/>
          <w:lang w:val="fr-BE"/>
        </w:rPr>
        <w:t xml:space="preserve">op. </w:t>
      </w:r>
      <w:proofErr w:type="spellStart"/>
      <w:r>
        <w:rPr>
          <w:i/>
          <w:lang w:val="fr-BE"/>
        </w:rPr>
        <w:t>cit</w:t>
      </w:r>
      <w:proofErr w:type="spellEnd"/>
      <w:r>
        <w:rPr>
          <w:i/>
          <w:lang w:val="fr-BE"/>
        </w:rPr>
        <w:t>.</w:t>
      </w:r>
      <w:r>
        <w:rPr>
          <w:lang w:val="fr-BE"/>
        </w:rPr>
        <w:t xml:space="preserve">, </w:t>
      </w:r>
      <w:r>
        <w:rPr>
          <w:i/>
          <w:lang w:val="fr-BE"/>
        </w:rPr>
        <w:t>D.A.O.R.</w:t>
      </w:r>
      <w:r>
        <w:rPr>
          <w:lang w:val="fr-BE"/>
        </w:rPr>
        <w:t>, 2019, p. 45.</w:t>
      </w:r>
      <w:r w:rsidR="00FF3DBD">
        <w:rPr>
          <w:lang w:val="fr-BE"/>
        </w:rPr>
        <w:t xml:space="preserve"> </w:t>
      </w:r>
      <w:proofErr w:type="spellStart"/>
      <w:r w:rsidR="00FF3DBD">
        <w:rPr>
          <w:lang w:val="fr-BE"/>
        </w:rPr>
        <w:t>Voy</w:t>
      </w:r>
      <w:proofErr w:type="spellEnd"/>
      <w:r w:rsidR="00FF3DBD">
        <w:rPr>
          <w:lang w:val="fr-BE"/>
        </w:rPr>
        <w:t xml:space="preserve">. et </w:t>
      </w:r>
      <w:proofErr w:type="spellStart"/>
      <w:r w:rsidR="00FF3DBD">
        <w:rPr>
          <w:lang w:val="fr-BE"/>
        </w:rPr>
        <w:t>comp</w:t>
      </w:r>
      <w:proofErr w:type="spellEnd"/>
      <w:r w:rsidR="00FF3DBD">
        <w:rPr>
          <w:lang w:val="fr-BE"/>
        </w:rPr>
        <w:t xml:space="preserve">. sur les effets de la nullité </w:t>
      </w:r>
      <w:r w:rsidR="002B1E5A">
        <w:rPr>
          <w:lang w:val="fr-BE"/>
        </w:rPr>
        <w:t xml:space="preserve">des clauses pénales comminatoires </w:t>
      </w:r>
      <w:r w:rsidR="00FF3DBD">
        <w:rPr>
          <w:lang w:val="fr-BE"/>
        </w:rPr>
        <w:t xml:space="preserve">en relation B2B : </w:t>
      </w:r>
      <w:r w:rsidR="00FF3DBD" w:rsidRPr="00FF3DBD">
        <w:rPr>
          <w:smallCaps/>
          <w:lang w:val="fr-BE"/>
        </w:rPr>
        <w:t xml:space="preserve">R. </w:t>
      </w:r>
      <w:proofErr w:type="spellStart"/>
      <w:r w:rsidR="00FF3DBD" w:rsidRPr="00FF3DBD">
        <w:rPr>
          <w:smallCaps/>
          <w:lang w:val="fr-BE"/>
        </w:rPr>
        <w:t>Steennot</w:t>
      </w:r>
      <w:proofErr w:type="spellEnd"/>
      <w:r w:rsidR="00FF3DBD" w:rsidRPr="00FF3DBD">
        <w:rPr>
          <w:lang w:val="fr-BE"/>
        </w:rPr>
        <w:t>, « </w:t>
      </w:r>
      <w:proofErr w:type="spellStart"/>
      <w:r w:rsidR="00FF3DBD" w:rsidRPr="00FF3DBD">
        <w:rPr>
          <w:lang w:val="fr-BE"/>
        </w:rPr>
        <w:t>Commentaar</w:t>
      </w:r>
      <w:proofErr w:type="spellEnd"/>
      <w:r w:rsidR="00FF3DBD" w:rsidRPr="00FF3DBD">
        <w:rPr>
          <w:lang w:val="fr-BE"/>
        </w:rPr>
        <w:t xml:space="preserve"> </w:t>
      </w:r>
      <w:proofErr w:type="spellStart"/>
      <w:r w:rsidR="00FF3DBD" w:rsidRPr="00FF3DBD">
        <w:rPr>
          <w:lang w:val="fr-BE"/>
        </w:rPr>
        <w:t>bij</w:t>
      </w:r>
      <w:proofErr w:type="spellEnd"/>
      <w:r w:rsidR="00FF3DBD" w:rsidRPr="00FF3DBD">
        <w:rPr>
          <w:lang w:val="fr-BE"/>
        </w:rPr>
        <w:t xml:space="preserve"> art. </w:t>
      </w:r>
      <w:r w:rsidR="00FF3DBD" w:rsidRPr="002B1E5A">
        <w:rPr>
          <w:lang w:val="fr-BE"/>
        </w:rPr>
        <w:t xml:space="preserve">VI.91/5 WER », </w:t>
      </w:r>
      <w:r w:rsidR="00FF3DBD" w:rsidRPr="002B1E5A">
        <w:rPr>
          <w:i/>
          <w:lang w:val="fr-BE"/>
        </w:rPr>
        <w:t>O.H.R.A.</w:t>
      </w:r>
      <w:r w:rsidR="00FF3DBD" w:rsidRPr="002B1E5A">
        <w:rPr>
          <w:lang w:val="fr-BE"/>
        </w:rPr>
        <w:t>, 2019, pp. 18 et 19, n° 32 et 33.</w:t>
      </w:r>
    </w:p>
  </w:footnote>
  <w:footnote w:id="72">
    <w:p w:rsidR="009D2186" w:rsidRPr="00AF4EDD" w:rsidRDefault="009D2186" w:rsidP="00224DEB">
      <w:pPr>
        <w:pStyle w:val="Notedebasdepage"/>
        <w:jc w:val="both"/>
        <w:rPr>
          <w:lang w:val="fr-BE"/>
        </w:rPr>
      </w:pPr>
      <w:r>
        <w:rPr>
          <w:rStyle w:val="Appelnotedebasdep"/>
        </w:rPr>
        <w:footnoteRef/>
      </w:r>
      <w:r w:rsidRPr="001F769C">
        <w:rPr>
          <w:lang w:val="fr-BE"/>
        </w:rPr>
        <w:t xml:space="preserve"> </w:t>
      </w:r>
      <w:proofErr w:type="spellStart"/>
      <w:r w:rsidRPr="001F769C">
        <w:rPr>
          <w:lang w:val="fr-BE"/>
        </w:rPr>
        <w:t>Voy</w:t>
      </w:r>
      <w:proofErr w:type="spellEnd"/>
      <w:r w:rsidRPr="001F769C">
        <w:rPr>
          <w:lang w:val="fr-BE"/>
        </w:rPr>
        <w:t xml:space="preserve">. not. </w:t>
      </w:r>
      <w:proofErr w:type="spellStart"/>
      <w:r>
        <w:rPr>
          <w:lang w:val="fr-BE"/>
        </w:rPr>
        <w:t>Cass</w:t>
      </w:r>
      <w:proofErr w:type="spellEnd"/>
      <w:r>
        <w:rPr>
          <w:lang w:val="fr-BE"/>
        </w:rPr>
        <w:t>. (1</w:t>
      </w:r>
      <w:r w:rsidRPr="005E5421">
        <w:rPr>
          <w:vertAlign w:val="superscript"/>
          <w:lang w:val="fr-BE"/>
        </w:rPr>
        <w:t>re</w:t>
      </w:r>
      <w:r>
        <w:rPr>
          <w:lang w:val="fr-BE"/>
        </w:rPr>
        <w:t xml:space="preserve"> ch.), 12 septembre 2019, n° C.18.0480.N. Si les conditions générale apparaissent sur une facture, il convient de tenir compte de l’article 1348</w:t>
      </w:r>
      <w:r>
        <w:rPr>
          <w:i/>
          <w:lang w:val="fr-BE"/>
        </w:rPr>
        <w:t>bis</w:t>
      </w:r>
      <w:r>
        <w:rPr>
          <w:lang w:val="fr-BE"/>
        </w:rPr>
        <w:t>, § 4, du Code civil (</w:t>
      </w:r>
      <w:proofErr w:type="spellStart"/>
      <w:r>
        <w:rPr>
          <w:lang w:val="fr-BE"/>
        </w:rPr>
        <w:t>comp</w:t>
      </w:r>
      <w:proofErr w:type="spellEnd"/>
      <w:r>
        <w:rPr>
          <w:lang w:val="fr-BE"/>
        </w:rPr>
        <w:t>. avec art. 8.11, § 4, du « nouveau » Code civil qui entrera en vigueur le 1</w:t>
      </w:r>
      <w:r w:rsidRPr="00AF4EDD">
        <w:rPr>
          <w:vertAlign w:val="superscript"/>
          <w:lang w:val="fr-BE"/>
        </w:rPr>
        <w:t>er</w:t>
      </w:r>
      <w:r>
        <w:rPr>
          <w:lang w:val="fr-BE"/>
        </w:rPr>
        <w:t xml:space="preserve"> novembre 2020). </w:t>
      </w:r>
      <w:proofErr w:type="spellStart"/>
      <w:r>
        <w:rPr>
          <w:lang w:val="fr-BE"/>
        </w:rPr>
        <w:t>Voy</w:t>
      </w:r>
      <w:proofErr w:type="spellEnd"/>
      <w:r>
        <w:rPr>
          <w:lang w:val="fr-BE"/>
        </w:rPr>
        <w:t xml:space="preserve">. à cet égard </w:t>
      </w:r>
      <w:r w:rsidRPr="00FE3EB2">
        <w:rPr>
          <w:smallCaps/>
          <w:lang w:val="fr-BE"/>
        </w:rPr>
        <w:t xml:space="preserve">I. </w:t>
      </w:r>
      <w:proofErr w:type="spellStart"/>
      <w:r w:rsidRPr="00FE3EB2">
        <w:rPr>
          <w:smallCaps/>
          <w:lang w:val="fr-BE"/>
        </w:rPr>
        <w:t>Claeys</w:t>
      </w:r>
      <w:proofErr w:type="spellEnd"/>
      <w:r w:rsidRPr="00FE3EB2">
        <w:rPr>
          <w:lang w:val="fr-BE"/>
        </w:rPr>
        <w:t xml:space="preserve"> et </w:t>
      </w:r>
      <w:r w:rsidRPr="00FE3EB2">
        <w:rPr>
          <w:smallCaps/>
          <w:lang w:val="fr-BE"/>
        </w:rPr>
        <w:t xml:space="preserve">T. </w:t>
      </w:r>
      <w:proofErr w:type="spellStart"/>
      <w:r w:rsidRPr="00FE3EB2">
        <w:rPr>
          <w:smallCaps/>
          <w:lang w:val="fr-BE"/>
        </w:rPr>
        <w:t>Tanghe</w:t>
      </w:r>
      <w:proofErr w:type="spellEnd"/>
      <w:r w:rsidRPr="00FE3EB2">
        <w:rPr>
          <w:lang w:val="fr-BE"/>
        </w:rPr>
        <w:t xml:space="preserve">, </w:t>
      </w:r>
      <w:r w:rsidRPr="00FE3EB2">
        <w:rPr>
          <w:i/>
          <w:lang w:val="fr-BE"/>
        </w:rPr>
        <w:t>op.</w:t>
      </w:r>
      <w:r>
        <w:rPr>
          <w:i/>
          <w:lang w:val="fr-BE"/>
        </w:rPr>
        <w:t xml:space="preserve"> </w:t>
      </w:r>
      <w:proofErr w:type="spellStart"/>
      <w:r>
        <w:rPr>
          <w:i/>
          <w:lang w:val="fr-BE"/>
        </w:rPr>
        <w:t>cit</w:t>
      </w:r>
      <w:proofErr w:type="spellEnd"/>
      <w:r>
        <w:rPr>
          <w:i/>
          <w:lang w:val="fr-BE"/>
        </w:rPr>
        <w:t>.</w:t>
      </w:r>
      <w:r w:rsidRPr="00FE3EB2">
        <w:rPr>
          <w:lang w:val="fr-BE"/>
        </w:rPr>
        <w:t xml:space="preserve">, </w:t>
      </w:r>
      <w:r w:rsidRPr="00FE3EB2">
        <w:rPr>
          <w:i/>
          <w:lang w:val="fr-BE"/>
        </w:rPr>
        <w:t>R.W.</w:t>
      </w:r>
      <w:r w:rsidRPr="00FE3EB2">
        <w:rPr>
          <w:lang w:val="fr-BE"/>
        </w:rPr>
        <w:t xml:space="preserve">, 2019-2020, p. </w:t>
      </w:r>
      <w:r>
        <w:rPr>
          <w:lang w:val="fr-BE"/>
        </w:rPr>
        <w:t>335, n° 39.</w:t>
      </w:r>
    </w:p>
  </w:footnote>
  <w:footnote w:id="73">
    <w:p w:rsidR="009D2186" w:rsidRPr="0036045D" w:rsidRDefault="009D2186">
      <w:pPr>
        <w:pStyle w:val="Notedebasdepage"/>
      </w:pPr>
      <w:r>
        <w:rPr>
          <w:rStyle w:val="Appelnotedebasdep"/>
        </w:rPr>
        <w:footnoteRef/>
      </w:r>
      <w:r w:rsidRPr="0036045D">
        <w:rPr>
          <w:lang w:val="nl-BE"/>
        </w:rPr>
        <w:t xml:space="preserve"> </w:t>
      </w:r>
      <w:r w:rsidRPr="0036045D">
        <w:rPr>
          <w:smallCaps/>
          <w:lang w:val="nl-BE"/>
        </w:rPr>
        <w:t>R. Steennot</w:t>
      </w:r>
      <w:r w:rsidRPr="0036045D">
        <w:rPr>
          <w:lang w:val="nl-BE"/>
        </w:rPr>
        <w:t xml:space="preserve">, « Commentaar bij art. </w:t>
      </w:r>
      <w:r w:rsidRPr="005E6A0F">
        <w:t>VI.91/4</w:t>
      </w:r>
      <w:r>
        <w:t xml:space="preserve"> </w:t>
      </w:r>
      <w:r w:rsidRPr="005E6A0F">
        <w:t xml:space="preserve">WER », </w:t>
      </w:r>
      <w:r w:rsidRPr="005E6A0F">
        <w:rPr>
          <w:i/>
        </w:rPr>
        <w:t>O.H.R.A.</w:t>
      </w:r>
      <w:r w:rsidRPr="005E6A0F">
        <w:t>, 2019, p</w:t>
      </w:r>
      <w:r>
        <w:t>p. 6-7, n° 11.</w:t>
      </w:r>
    </w:p>
  </w:footnote>
  <w:footnote w:id="74">
    <w:p w:rsidR="009D2186" w:rsidRPr="00FD612B" w:rsidRDefault="009D2186">
      <w:pPr>
        <w:pStyle w:val="Notedebasdepage"/>
        <w:rPr>
          <w:lang w:val="fr-BE"/>
        </w:rPr>
      </w:pPr>
      <w:r>
        <w:rPr>
          <w:rStyle w:val="Appelnotedebasdep"/>
        </w:rPr>
        <w:footnoteRef/>
      </w:r>
      <w:r w:rsidRPr="00FD612B">
        <w:rPr>
          <w:lang w:val="fr-BE"/>
        </w:rPr>
        <w:t xml:space="preserve"> </w:t>
      </w:r>
      <w:r w:rsidRPr="0044600F">
        <w:rPr>
          <w:smallCaps/>
          <w:lang w:val="fr-BE"/>
        </w:rPr>
        <w:t>M. Gouverneur</w:t>
      </w:r>
      <w:r>
        <w:rPr>
          <w:lang w:val="fr-BE"/>
        </w:rPr>
        <w:t>,</w:t>
      </w:r>
      <w:r w:rsidRPr="0044600F">
        <w:rPr>
          <w:lang w:val="fr-BE"/>
        </w:rPr>
        <w:t xml:space="preserve"> </w:t>
      </w:r>
      <w:r>
        <w:rPr>
          <w:lang w:val="fr-BE"/>
        </w:rPr>
        <w:t>« </w:t>
      </w:r>
      <w:r w:rsidRPr="0044600F">
        <w:rPr>
          <w:lang w:val="fr-BE"/>
        </w:rPr>
        <w:t>Les clauses abusives dans les contrats conclus entre les entreprises ou les personnes exerçant une profession libérale et les consommateurs (Volume 2)</w:t>
      </w:r>
      <w:r>
        <w:rPr>
          <w:lang w:val="fr-BE"/>
        </w:rPr>
        <w:t xml:space="preserve"> », </w:t>
      </w:r>
      <w:r w:rsidRPr="0044600F">
        <w:rPr>
          <w:i/>
          <w:lang w:val="fr-BE"/>
        </w:rPr>
        <w:t>Guide juridique de l'entreprise - Traité théorique et pratique</w:t>
      </w:r>
      <w:r>
        <w:rPr>
          <w:lang w:val="fr-BE"/>
        </w:rPr>
        <w:t>, 2017</w:t>
      </w:r>
      <w:r w:rsidRPr="0044600F">
        <w:rPr>
          <w:lang w:val="fr-BE"/>
        </w:rPr>
        <w:t xml:space="preserve">, </w:t>
      </w:r>
      <w:r>
        <w:rPr>
          <w:lang w:val="fr-BE"/>
        </w:rPr>
        <w:t>pp. 18-19, n° 160.</w:t>
      </w:r>
    </w:p>
  </w:footnote>
  <w:footnote w:id="75">
    <w:p w:rsidR="009D2186" w:rsidRPr="00413925" w:rsidRDefault="009D2186">
      <w:pPr>
        <w:pStyle w:val="Notedebasdepage"/>
        <w:rPr>
          <w:lang w:val="fr-BE"/>
        </w:rPr>
      </w:pPr>
      <w:r>
        <w:rPr>
          <w:rStyle w:val="Appelnotedebasdep"/>
        </w:rPr>
        <w:footnoteRef/>
      </w:r>
      <w:r w:rsidRPr="00413925">
        <w:rPr>
          <w:lang w:val="fr-BE"/>
        </w:rPr>
        <w:t xml:space="preserve"> </w:t>
      </w:r>
      <w:r w:rsidRPr="00413925">
        <w:rPr>
          <w:smallCaps/>
          <w:lang w:val="fr-BE"/>
        </w:rPr>
        <w:t>M. Gouverneur</w:t>
      </w:r>
      <w:r>
        <w:rPr>
          <w:lang w:val="fr-BE"/>
        </w:rPr>
        <w:t xml:space="preserve">, </w:t>
      </w:r>
      <w:r w:rsidRPr="00413925">
        <w:rPr>
          <w:i/>
          <w:lang w:val="fr-BE"/>
        </w:rPr>
        <w:t>Les clauses</w:t>
      </w:r>
      <w:r>
        <w:rPr>
          <w:i/>
          <w:lang w:val="fr-BE"/>
        </w:rPr>
        <w:t xml:space="preserve"> abusives …, op. </w:t>
      </w:r>
      <w:proofErr w:type="spellStart"/>
      <w:r>
        <w:rPr>
          <w:i/>
          <w:lang w:val="fr-BE"/>
        </w:rPr>
        <w:t>cit</w:t>
      </w:r>
      <w:proofErr w:type="spellEnd"/>
      <w:r>
        <w:rPr>
          <w:i/>
          <w:lang w:val="fr-BE"/>
        </w:rPr>
        <w:t xml:space="preserve">., </w:t>
      </w:r>
      <w:r>
        <w:rPr>
          <w:lang w:val="fr-BE"/>
        </w:rPr>
        <w:t>2018, p. 49.</w:t>
      </w:r>
    </w:p>
  </w:footnote>
  <w:footnote w:id="76">
    <w:p w:rsidR="009D2186" w:rsidRPr="0044600F" w:rsidRDefault="009D2186" w:rsidP="0089168F">
      <w:pPr>
        <w:pStyle w:val="Notedebasdepage"/>
        <w:jc w:val="both"/>
        <w:rPr>
          <w:lang w:val="fr-BE"/>
        </w:rPr>
      </w:pPr>
      <w:r>
        <w:rPr>
          <w:rStyle w:val="Appelnotedebasdep"/>
        </w:rPr>
        <w:footnoteRef/>
      </w:r>
      <w:r w:rsidRPr="0044600F">
        <w:rPr>
          <w:lang w:val="fr-BE"/>
        </w:rPr>
        <w:t xml:space="preserve"> </w:t>
      </w:r>
      <w:r>
        <w:rPr>
          <w:lang w:val="fr-BE"/>
        </w:rPr>
        <w:t xml:space="preserve">Sur cette disposition </w:t>
      </w:r>
      <w:proofErr w:type="spellStart"/>
      <w:r>
        <w:rPr>
          <w:lang w:val="fr-BE"/>
        </w:rPr>
        <w:t>voy</w:t>
      </w:r>
      <w:proofErr w:type="spellEnd"/>
      <w:r>
        <w:rPr>
          <w:lang w:val="fr-BE"/>
        </w:rPr>
        <w:t xml:space="preserve">. </w:t>
      </w:r>
      <w:r w:rsidRPr="0044600F">
        <w:rPr>
          <w:smallCaps/>
          <w:lang w:val="fr-BE"/>
        </w:rPr>
        <w:t>M. Gouverneur</w:t>
      </w:r>
      <w:r>
        <w:rPr>
          <w:lang w:val="fr-BE"/>
        </w:rPr>
        <w:t>,</w:t>
      </w:r>
      <w:r w:rsidRPr="0044600F">
        <w:rPr>
          <w:lang w:val="fr-BE"/>
        </w:rPr>
        <w:t xml:space="preserve"> </w:t>
      </w:r>
      <w:r>
        <w:rPr>
          <w:lang w:val="fr-BE"/>
        </w:rPr>
        <w:t>« </w:t>
      </w:r>
      <w:r w:rsidRPr="0044600F">
        <w:rPr>
          <w:lang w:val="fr-BE"/>
        </w:rPr>
        <w:t>Les clauses abusives dans les contrats conclus entre les entreprises ou les personnes exerçant une profession libérale et les consommateurs (Volume 2)</w:t>
      </w:r>
      <w:r>
        <w:rPr>
          <w:lang w:val="fr-BE"/>
        </w:rPr>
        <w:t xml:space="preserve"> », </w:t>
      </w:r>
      <w:r w:rsidRPr="0044600F">
        <w:rPr>
          <w:i/>
          <w:lang w:val="fr-BE"/>
        </w:rPr>
        <w:t>Guide juridique de l'entreprise - Traité théorique et pratique</w:t>
      </w:r>
      <w:r>
        <w:rPr>
          <w:lang w:val="fr-BE"/>
        </w:rPr>
        <w:t>, 2017</w:t>
      </w:r>
      <w:r w:rsidRPr="0044600F">
        <w:rPr>
          <w:lang w:val="fr-BE"/>
        </w:rPr>
        <w:t xml:space="preserve">, </w:t>
      </w:r>
      <w:r>
        <w:rPr>
          <w:lang w:val="fr-BE"/>
        </w:rPr>
        <w:t>p. 62, n° 1000.</w:t>
      </w:r>
    </w:p>
  </w:footnote>
  <w:footnote w:id="77">
    <w:p w:rsidR="009D2186" w:rsidRPr="00533A52" w:rsidRDefault="009D2186" w:rsidP="00DB736A">
      <w:pPr>
        <w:pStyle w:val="Notedebasdepage"/>
        <w:rPr>
          <w:lang w:val="fr-BE"/>
        </w:rPr>
      </w:pPr>
      <w:r>
        <w:rPr>
          <w:rStyle w:val="Appelnotedebasdep"/>
        </w:rPr>
        <w:footnoteRef/>
      </w:r>
      <w:r w:rsidRPr="00720F56">
        <w:t xml:space="preserve"> </w:t>
      </w:r>
      <w:proofErr w:type="spellStart"/>
      <w:r w:rsidRPr="00720F56">
        <w:t>Voy</w:t>
      </w:r>
      <w:proofErr w:type="spellEnd"/>
      <w:r w:rsidRPr="00720F56">
        <w:t xml:space="preserve">. not. </w:t>
      </w:r>
      <w:r w:rsidRPr="00720F56">
        <w:rPr>
          <w:smallCaps/>
        </w:rPr>
        <w:t xml:space="preserve">P. </w:t>
      </w:r>
      <w:proofErr w:type="spellStart"/>
      <w:r w:rsidRPr="00720F56">
        <w:rPr>
          <w:smallCaps/>
        </w:rPr>
        <w:t>Wéry</w:t>
      </w:r>
      <w:proofErr w:type="spellEnd"/>
      <w:r w:rsidRPr="00720F56">
        <w:t xml:space="preserve">, « Le </w:t>
      </w:r>
      <w:proofErr w:type="spellStart"/>
      <w:r w:rsidRPr="00720F56">
        <w:t>mandat</w:t>
      </w:r>
      <w:proofErr w:type="spellEnd"/>
      <w:r w:rsidRPr="00720F56">
        <w:t xml:space="preserve"> », </w:t>
      </w:r>
      <w:proofErr w:type="spellStart"/>
      <w:r w:rsidRPr="00720F56">
        <w:rPr>
          <w:i/>
        </w:rPr>
        <w:t>Rép</w:t>
      </w:r>
      <w:proofErr w:type="spellEnd"/>
      <w:r w:rsidRPr="00720F56">
        <w:rPr>
          <w:i/>
        </w:rPr>
        <w:t>. Not.</w:t>
      </w:r>
      <w:r w:rsidRPr="00720F56">
        <w:t xml:space="preserve">, t.  </w:t>
      </w:r>
      <w:r>
        <w:rPr>
          <w:lang w:val="fr-BE"/>
        </w:rPr>
        <w:t xml:space="preserve">IX,  </w:t>
      </w:r>
      <w:r>
        <w:rPr>
          <w:i/>
          <w:lang w:val="fr-BE"/>
        </w:rPr>
        <w:t xml:space="preserve">Contrats divers, </w:t>
      </w:r>
      <w:r>
        <w:rPr>
          <w:lang w:val="fr-BE"/>
        </w:rPr>
        <w:t xml:space="preserve">Liv. VII, Bruxelles, </w:t>
      </w:r>
      <w:proofErr w:type="spellStart"/>
      <w:r>
        <w:rPr>
          <w:lang w:val="fr-BE"/>
        </w:rPr>
        <w:t>Larcier</w:t>
      </w:r>
      <w:proofErr w:type="spellEnd"/>
      <w:r>
        <w:rPr>
          <w:lang w:val="fr-BE"/>
        </w:rPr>
        <w:t>, 2019, p. 259, n° 200.</w:t>
      </w:r>
    </w:p>
  </w:footnote>
  <w:footnote w:id="78">
    <w:p w:rsidR="009D2186" w:rsidRPr="00AE1959" w:rsidRDefault="009D2186">
      <w:pPr>
        <w:pStyle w:val="Notedebasdepage"/>
        <w:rPr>
          <w:lang w:val="fr-BE"/>
        </w:rPr>
      </w:pPr>
      <w:r>
        <w:rPr>
          <w:rStyle w:val="Appelnotedebasdep"/>
        </w:rPr>
        <w:footnoteRef/>
      </w:r>
      <w:r w:rsidRPr="00AE1959">
        <w:rPr>
          <w:lang w:val="fr-BE"/>
        </w:rPr>
        <w:t xml:space="preserve"> </w:t>
      </w:r>
      <w:proofErr w:type="spellStart"/>
      <w:r w:rsidRPr="00AE1959">
        <w:rPr>
          <w:lang w:val="fr-BE"/>
        </w:rPr>
        <w:t>Cass</w:t>
      </w:r>
      <w:proofErr w:type="spellEnd"/>
      <w:r w:rsidRPr="00AE1959">
        <w:rPr>
          <w:lang w:val="fr-BE"/>
        </w:rPr>
        <w:t xml:space="preserve">., 25 juin 2004, </w:t>
      </w:r>
      <w:r w:rsidRPr="00AE1959">
        <w:rPr>
          <w:i/>
          <w:lang w:val="fr-BE"/>
        </w:rPr>
        <w:t>Pas.</w:t>
      </w:r>
      <w:r w:rsidRPr="00AE1959">
        <w:rPr>
          <w:lang w:val="fr-BE"/>
        </w:rPr>
        <w:t>, 2004, p.</w:t>
      </w:r>
      <w:r>
        <w:rPr>
          <w:lang w:val="fr-BE"/>
        </w:rPr>
        <w:t xml:space="preserve"> 1162</w:t>
      </w:r>
      <w:r w:rsidRPr="00AE1959">
        <w:rPr>
          <w:lang w:val="fr-BE"/>
        </w:rPr>
        <w:t xml:space="preserve"> ; </w:t>
      </w:r>
      <w:proofErr w:type="spellStart"/>
      <w:r w:rsidRPr="00AE1959">
        <w:rPr>
          <w:lang w:val="fr-BE"/>
        </w:rPr>
        <w:t>Cass</w:t>
      </w:r>
      <w:proofErr w:type="spellEnd"/>
      <w:r w:rsidRPr="00AE1959">
        <w:rPr>
          <w:lang w:val="fr-BE"/>
        </w:rPr>
        <w:t>.</w:t>
      </w:r>
      <w:r>
        <w:rPr>
          <w:lang w:val="fr-BE"/>
        </w:rPr>
        <w:t xml:space="preserve">, 2 septembre 2010, </w:t>
      </w:r>
      <w:r>
        <w:rPr>
          <w:i/>
          <w:lang w:val="fr-BE"/>
        </w:rPr>
        <w:t>Pas.</w:t>
      </w:r>
      <w:r>
        <w:rPr>
          <w:lang w:val="fr-BE"/>
        </w:rPr>
        <w:t>, 2010, p. 2181.</w:t>
      </w:r>
    </w:p>
  </w:footnote>
  <w:footnote w:id="79">
    <w:p w:rsidR="009D2186" w:rsidRPr="008C2071" w:rsidRDefault="009D2186">
      <w:pPr>
        <w:pStyle w:val="Notedebasdepage"/>
        <w:rPr>
          <w:lang w:val="fr-BE"/>
        </w:rPr>
      </w:pPr>
      <w:r>
        <w:rPr>
          <w:rStyle w:val="Appelnotedebasdep"/>
        </w:rPr>
        <w:footnoteRef/>
      </w:r>
      <w:r w:rsidRPr="00565554">
        <w:rPr>
          <w:lang w:val="fr-BE"/>
        </w:rPr>
        <w:t xml:space="preserve"> </w:t>
      </w:r>
      <w:proofErr w:type="spellStart"/>
      <w:r w:rsidRPr="00565554">
        <w:rPr>
          <w:lang w:val="fr-BE"/>
        </w:rPr>
        <w:t>Voy</w:t>
      </w:r>
      <w:proofErr w:type="spellEnd"/>
      <w:r w:rsidRPr="00565554">
        <w:rPr>
          <w:lang w:val="fr-BE"/>
        </w:rPr>
        <w:t xml:space="preserve">. not. </w:t>
      </w:r>
      <w:proofErr w:type="spellStart"/>
      <w:r w:rsidRPr="008C2071">
        <w:rPr>
          <w:lang w:val="fr-BE"/>
        </w:rPr>
        <w:t>Cass</w:t>
      </w:r>
      <w:proofErr w:type="spellEnd"/>
      <w:r w:rsidRPr="008C2071">
        <w:rPr>
          <w:lang w:val="fr-BE"/>
        </w:rPr>
        <w:t xml:space="preserve">., 20 juin 1988, </w:t>
      </w:r>
      <w:r w:rsidRPr="008C2071">
        <w:rPr>
          <w:i/>
          <w:lang w:val="fr-BE"/>
        </w:rPr>
        <w:t>Pas.</w:t>
      </w:r>
      <w:r w:rsidRPr="008C2071">
        <w:rPr>
          <w:lang w:val="fr-BE"/>
        </w:rPr>
        <w:t xml:space="preserve">, 1988, I, p. 1258 . </w:t>
      </w:r>
      <w:proofErr w:type="spellStart"/>
      <w:r w:rsidRPr="008C2071">
        <w:rPr>
          <w:lang w:val="fr-BE"/>
        </w:rPr>
        <w:t>C</w:t>
      </w:r>
      <w:r>
        <w:rPr>
          <w:lang w:val="fr-BE"/>
        </w:rPr>
        <w:t>ass</w:t>
      </w:r>
      <w:proofErr w:type="spellEnd"/>
      <w:r>
        <w:rPr>
          <w:lang w:val="fr-BE"/>
        </w:rPr>
        <w:t xml:space="preserve">., 22 février 2018, </w:t>
      </w:r>
      <w:r>
        <w:rPr>
          <w:i/>
          <w:lang w:val="fr-BE"/>
        </w:rPr>
        <w:t>R.W.</w:t>
      </w:r>
      <w:r>
        <w:rPr>
          <w:lang w:val="fr-BE"/>
        </w:rPr>
        <w:t>, 2018-2019, p. 296.</w:t>
      </w:r>
    </w:p>
  </w:footnote>
  <w:footnote w:id="80">
    <w:p w:rsidR="009D2186" w:rsidRPr="00AE1959" w:rsidRDefault="009D2186">
      <w:pPr>
        <w:pStyle w:val="Notedebasdepage"/>
        <w:rPr>
          <w:lang w:val="nl-BE"/>
        </w:rPr>
      </w:pPr>
      <w:r>
        <w:rPr>
          <w:rStyle w:val="Appelnotedebasdep"/>
        </w:rPr>
        <w:footnoteRef/>
      </w:r>
      <w:r w:rsidRPr="00AE1959">
        <w:rPr>
          <w:lang w:val="nl-BE"/>
        </w:rPr>
        <w:t xml:space="preserve"> </w:t>
      </w:r>
      <w:r>
        <w:rPr>
          <w:lang w:val="nl-BE"/>
        </w:rPr>
        <w:t xml:space="preserve">Voy. </w:t>
      </w:r>
      <w:r w:rsidRPr="00AE1959">
        <w:rPr>
          <w:smallCaps/>
          <w:lang w:val="nl-BE"/>
        </w:rPr>
        <w:t>S. Stijns</w:t>
      </w:r>
      <w:r>
        <w:rPr>
          <w:lang w:val="nl-BE"/>
        </w:rPr>
        <w:t xml:space="preserve">, “De leer der onrechtmatige bedingen in de WHPC na de wet van 7 december 1998”, </w:t>
      </w:r>
      <w:r>
        <w:rPr>
          <w:i/>
          <w:lang w:val="nl-BE"/>
        </w:rPr>
        <w:t>R.D.C.</w:t>
      </w:r>
      <w:r>
        <w:rPr>
          <w:lang w:val="nl-BE"/>
        </w:rPr>
        <w:t>, 2000, p. 162.</w:t>
      </w:r>
    </w:p>
  </w:footnote>
  <w:footnote w:id="81">
    <w:p w:rsidR="009D2186" w:rsidRPr="00C51AFC" w:rsidRDefault="009D2186" w:rsidP="009D09C0">
      <w:pPr>
        <w:pStyle w:val="Notedebasdepage"/>
        <w:jc w:val="both"/>
        <w:rPr>
          <w:lang w:val="fr-BE"/>
        </w:rPr>
      </w:pPr>
      <w:r>
        <w:rPr>
          <w:rStyle w:val="Appelnotedebasdep"/>
        </w:rPr>
        <w:footnoteRef/>
      </w:r>
      <w:r w:rsidRPr="00C51AFC">
        <w:rPr>
          <w:lang w:val="fr-BE"/>
        </w:rPr>
        <w:t xml:space="preserve"> </w:t>
      </w:r>
      <w:r>
        <w:rPr>
          <w:lang w:val="fr-BE"/>
        </w:rPr>
        <w:t xml:space="preserve">Proposition de loi </w:t>
      </w:r>
      <w:r w:rsidRPr="00AC32DB">
        <w:rPr>
          <w:lang w:val="fr-BE"/>
        </w:rPr>
        <w:t>modifiant le Code de droit économique</w:t>
      </w:r>
      <w:r>
        <w:rPr>
          <w:lang w:val="fr-BE"/>
        </w:rPr>
        <w:t xml:space="preserve"> </w:t>
      </w:r>
      <w:r w:rsidRPr="00AC32DB">
        <w:rPr>
          <w:lang w:val="fr-BE"/>
        </w:rPr>
        <w:t>en ce qui concerne l’abus d’une position</w:t>
      </w:r>
      <w:r>
        <w:rPr>
          <w:lang w:val="fr-BE"/>
        </w:rPr>
        <w:t xml:space="preserve"> </w:t>
      </w:r>
      <w:r w:rsidRPr="00AC32DB">
        <w:rPr>
          <w:lang w:val="fr-BE"/>
        </w:rPr>
        <w:t>dominante significative</w:t>
      </w:r>
      <w:r>
        <w:rPr>
          <w:lang w:val="fr-BE"/>
        </w:rPr>
        <w:t xml:space="preserve">, amendement n° 20 de Madame </w:t>
      </w:r>
      <w:proofErr w:type="spellStart"/>
      <w:r>
        <w:rPr>
          <w:lang w:val="fr-BE"/>
        </w:rPr>
        <w:t>Smaers</w:t>
      </w:r>
      <w:proofErr w:type="spellEnd"/>
      <w:r>
        <w:rPr>
          <w:lang w:val="fr-BE"/>
        </w:rPr>
        <w:t xml:space="preserve"> et consorts, </w:t>
      </w:r>
      <w:r>
        <w:rPr>
          <w:i/>
          <w:lang w:val="fr-BE"/>
        </w:rPr>
        <w:t xml:space="preserve">Doc. </w:t>
      </w:r>
      <w:proofErr w:type="spellStart"/>
      <w:r>
        <w:rPr>
          <w:i/>
          <w:lang w:val="fr-BE"/>
        </w:rPr>
        <w:t>Parl</w:t>
      </w:r>
      <w:proofErr w:type="spellEnd"/>
      <w:r>
        <w:rPr>
          <w:i/>
          <w:lang w:val="fr-BE"/>
        </w:rPr>
        <w:t>.</w:t>
      </w:r>
      <w:r>
        <w:rPr>
          <w:lang w:val="fr-BE"/>
        </w:rPr>
        <w:t xml:space="preserve">, Ch., 2018-2019, n° 54-1451/3, pp. 42-43. </w:t>
      </w:r>
    </w:p>
  </w:footnote>
  <w:footnote w:id="82">
    <w:p w:rsidR="009D2186" w:rsidRPr="00C51AFC" w:rsidRDefault="009D2186" w:rsidP="009D09C0">
      <w:pPr>
        <w:pStyle w:val="Notedebasdepage"/>
        <w:jc w:val="both"/>
        <w:rPr>
          <w:lang w:val="fr-BE"/>
        </w:rPr>
      </w:pPr>
      <w:r>
        <w:rPr>
          <w:rStyle w:val="Appelnotedebasdep"/>
        </w:rPr>
        <w:footnoteRef/>
      </w:r>
      <w:r w:rsidRPr="00C51AFC">
        <w:rPr>
          <w:lang w:val="fr-BE"/>
        </w:rPr>
        <w:t xml:space="preserve"> </w:t>
      </w:r>
      <w:r>
        <w:rPr>
          <w:lang w:val="fr-BE"/>
        </w:rPr>
        <w:t xml:space="preserve">Proposition de loi précitée, </w:t>
      </w:r>
      <w:r>
        <w:rPr>
          <w:i/>
          <w:lang w:val="fr-BE"/>
        </w:rPr>
        <w:t xml:space="preserve">Doc. </w:t>
      </w:r>
      <w:proofErr w:type="spellStart"/>
      <w:r>
        <w:rPr>
          <w:i/>
          <w:lang w:val="fr-BE"/>
        </w:rPr>
        <w:t>Parl</w:t>
      </w:r>
      <w:proofErr w:type="spellEnd"/>
      <w:r>
        <w:rPr>
          <w:i/>
          <w:lang w:val="fr-BE"/>
        </w:rPr>
        <w:t>.</w:t>
      </w:r>
      <w:r>
        <w:rPr>
          <w:lang w:val="fr-BE"/>
        </w:rPr>
        <w:t>, Ch., 2018-2019, n° 54-1451/3, p. 43.</w:t>
      </w:r>
    </w:p>
  </w:footnote>
  <w:footnote w:id="83">
    <w:p w:rsidR="009D2186" w:rsidRPr="009D4DBD" w:rsidRDefault="009D2186" w:rsidP="005E5421">
      <w:pPr>
        <w:pStyle w:val="Notedebasdepage"/>
        <w:jc w:val="both"/>
        <w:rPr>
          <w:lang w:val="fr-BE"/>
        </w:rPr>
      </w:pPr>
      <w:r>
        <w:rPr>
          <w:rStyle w:val="Appelnotedebasdep"/>
        </w:rPr>
        <w:footnoteRef/>
      </w:r>
      <w:r w:rsidRPr="009D4DBD">
        <w:rPr>
          <w:lang w:val="fr-BE"/>
        </w:rPr>
        <w:t xml:space="preserve"> </w:t>
      </w:r>
      <w:r w:rsidRPr="00FE3EB2">
        <w:rPr>
          <w:smallCaps/>
          <w:lang w:val="fr-BE"/>
        </w:rPr>
        <w:t xml:space="preserve">I. </w:t>
      </w:r>
      <w:proofErr w:type="spellStart"/>
      <w:r w:rsidRPr="00FE3EB2">
        <w:rPr>
          <w:smallCaps/>
          <w:lang w:val="fr-BE"/>
        </w:rPr>
        <w:t>Claeys</w:t>
      </w:r>
      <w:proofErr w:type="spellEnd"/>
      <w:r w:rsidRPr="00FE3EB2">
        <w:rPr>
          <w:lang w:val="fr-BE"/>
        </w:rPr>
        <w:t xml:space="preserve"> et </w:t>
      </w:r>
      <w:r w:rsidRPr="00FE3EB2">
        <w:rPr>
          <w:smallCaps/>
          <w:lang w:val="fr-BE"/>
        </w:rPr>
        <w:t xml:space="preserve">T. </w:t>
      </w:r>
      <w:proofErr w:type="spellStart"/>
      <w:r w:rsidRPr="00FE3EB2">
        <w:rPr>
          <w:smallCaps/>
          <w:lang w:val="fr-BE"/>
        </w:rPr>
        <w:t>Tanghe</w:t>
      </w:r>
      <w:proofErr w:type="spellEnd"/>
      <w:r w:rsidRPr="00FE3EB2">
        <w:rPr>
          <w:lang w:val="fr-BE"/>
        </w:rPr>
        <w:t xml:space="preserve">, </w:t>
      </w:r>
      <w:r w:rsidRPr="00FE3EB2">
        <w:rPr>
          <w:i/>
          <w:lang w:val="fr-BE"/>
        </w:rPr>
        <w:t>op.</w:t>
      </w:r>
      <w:r>
        <w:rPr>
          <w:i/>
          <w:lang w:val="fr-BE"/>
        </w:rPr>
        <w:t xml:space="preserve"> </w:t>
      </w:r>
      <w:proofErr w:type="spellStart"/>
      <w:r>
        <w:rPr>
          <w:i/>
          <w:lang w:val="fr-BE"/>
        </w:rPr>
        <w:t>cit</w:t>
      </w:r>
      <w:proofErr w:type="spellEnd"/>
      <w:r>
        <w:rPr>
          <w:i/>
          <w:lang w:val="fr-BE"/>
        </w:rPr>
        <w:t>.</w:t>
      </w:r>
      <w:r w:rsidRPr="00FE3EB2">
        <w:rPr>
          <w:lang w:val="fr-BE"/>
        </w:rPr>
        <w:t xml:space="preserve">, </w:t>
      </w:r>
      <w:r w:rsidRPr="00FE3EB2">
        <w:rPr>
          <w:i/>
          <w:lang w:val="fr-BE"/>
        </w:rPr>
        <w:t>R.W.</w:t>
      </w:r>
      <w:r w:rsidRPr="00FE3EB2">
        <w:rPr>
          <w:lang w:val="fr-BE"/>
        </w:rPr>
        <w:t>, 2019-2020, p.</w:t>
      </w:r>
      <w:r>
        <w:rPr>
          <w:lang w:val="fr-BE"/>
        </w:rPr>
        <w:t xml:space="preserve"> 340, n° 56.</w:t>
      </w:r>
    </w:p>
  </w:footnote>
  <w:footnote w:id="84">
    <w:p w:rsidR="009D2186" w:rsidRPr="00B82110" w:rsidRDefault="009D2186" w:rsidP="005E5421">
      <w:pPr>
        <w:pStyle w:val="Notedebasdepage"/>
        <w:jc w:val="both"/>
        <w:rPr>
          <w:lang w:val="nl-BE"/>
        </w:rPr>
      </w:pPr>
      <w:r>
        <w:rPr>
          <w:rStyle w:val="Appelnotedebasdep"/>
        </w:rPr>
        <w:footnoteRef/>
      </w:r>
      <w:r w:rsidRPr="00B82110">
        <w:rPr>
          <w:lang w:val="nl-BE"/>
        </w:rPr>
        <w:t xml:space="preserve"> </w:t>
      </w:r>
      <w:r w:rsidRPr="00B82110">
        <w:rPr>
          <w:smallCaps/>
          <w:lang w:val="nl-BE"/>
        </w:rPr>
        <w:t>R. Jafferali</w:t>
      </w:r>
      <w:r w:rsidRPr="00B82110">
        <w:rPr>
          <w:lang w:val="nl-BE"/>
        </w:rPr>
        <w:t xml:space="preserve">, </w:t>
      </w:r>
      <w:r w:rsidRPr="00B82110">
        <w:rPr>
          <w:i/>
          <w:iCs/>
          <w:lang w:val="nl-BE"/>
        </w:rPr>
        <w:t>op. c</w:t>
      </w:r>
      <w:r>
        <w:rPr>
          <w:i/>
          <w:iCs/>
          <w:lang w:val="nl-BE"/>
        </w:rPr>
        <w:t xml:space="preserve">it., </w:t>
      </w:r>
      <w:r w:rsidRPr="00B82110">
        <w:rPr>
          <w:i/>
          <w:lang w:val="nl-BE"/>
        </w:rPr>
        <w:t>J.T.</w:t>
      </w:r>
      <w:r w:rsidRPr="00B82110">
        <w:rPr>
          <w:lang w:val="nl-BE"/>
        </w:rPr>
        <w:t xml:space="preserve">, 2020, </w:t>
      </w:r>
      <w:r>
        <w:rPr>
          <w:lang w:val="nl-BE"/>
        </w:rPr>
        <w:t xml:space="preserve">p. 308, </w:t>
      </w:r>
      <w:r w:rsidRPr="00B82110">
        <w:rPr>
          <w:lang w:val="nl-BE"/>
        </w:rPr>
        <w:t>n° 30</w:t>
      </w:r>
      <w:r>
        <w:rPr>
          <w:lang w:val="nl-BE"/>
        </w:rPr>
        <w:t xml:space="preserve"> ; </w:t>
      </w:r>
      <w:r w:rsidRPr="005D78B8">
        <w:rPr>
          <w:smallCaps/>
          <w:lang w:val="nl-BE"/>
        </w:rPr>
        <w:t>R. Steennot</w:t>
      </w:r>
      <w:r w:rsidRPr="005D78B8">
        <w:rPr>
          <w:lang w:val="nl-BE"/>
        </w:rPr>
        <w:t xml:space="preserve">, « Commentaar bij art. VI.91/5 WER », </w:t>
      </w:r>
      <w:r w:rsidRPr="005D78B8">
        <w:rPr>
          <w:i/>
          <w:lang w:val="nl-BE"/>
        </w:rPr>
        <w:t>O.H.R.A.</w:t>
      </w:r>
      <w:r w:rsidRPr="005D78B8">
        <w:rPr>
          <w:lang w:val="nl-BE"/>
        </w:rPr>
        <w:t>, 2019, p</w:t>
      </w:r>
      <w:r>
        <w:rPr>
          <w:lang w:val="nl-BE"/>
        </w:rPr>
        <w:t>p. 14-15, n° 24 et 25.</w:t>
      </w:r>
    </w:p>
  </w:footnote>
  <w:footnote w:id="85">
    <w:p w:rsidR="009D2186" w:rsidRPr="005E5421" w:rsidRDefault="009D2186" w:rsidP="005E5421">
      <w:pPr>
        <w:pStyle w:val="Notedebasdepage"/>
        <w:jc w:val="both"/>
        <w:rPr>
          <w:lang w:val="nl-BE"/>
        </w:rPr>
      </w:pPr>
      <w:r>
        <w:rPr>
          <w:rStyle w:val="Appelnotedebasdep"/>
        </w:rPr>
        <w:footnoteRef/>
      </w:r>
      <w:r w:rsidRPr="005E5421">
        <w:rPr>
          <w:lang w:val="nl-BE"/>
        </w:rPr>
        <w:t xml:space="preserve"> </w:t>
      </w:r>
      <w:r w:rsidRPr="005E5421">
        <w:rPr>
          <w:smallCaps/>
          <w:lang w:val="nl-BE"/>
        </w:rPr>
        <w:t>S. Stijns</w:t>
      </w:r>
      <w:r w:rsidRPr="005E5421">
        <w:rPr>
          <w:lang w:val="nl-BE"/>
        </w:rPr>
        <w:t>, « Contractualisering van sancties in het privaatrecht, inzonderheid bij contractuele wanprestaties</w:t>
      </w:r>
      <w:r>
        <w:rPr>
          <w:lang w:val="nl-BE"/>
        </w:rPr>
        <w:t xml:space="preserve"> </w:t>
      </w:r>
      <w:r w:rsidRPr="005E5421">
        <w:rPr>
          <w:lang w:val="nl-BE"/>
        </w:rPr>
        <w:t xml:space="preserve">», </w:t>
      </w:r>
      <w:r w:rsidRPr="005E5421">
        <w:rPr>
          <w:i/>
          <w:lang w:val="nl-BE"/>
        </w:rPr>
        <w:t>R.W</w:t>
      </w:r>
      <w:r w:rsidRPr="005E5421">
        <w:rPr>
          <w:lang w:val="nl-BE"/>
        </w:rPr>
        <w:t>., 2001-2002, p. 1281 et spécialement la note 267.</w:t>
      </w:r>
    </w:p>
  </w:footnote>
  <w:footnote w:id="86">
    <w:p w:rsidR="009D2186" w:rsidRPr="00456072" w:rsidRDefault="009D2186" w:rsidP="009D09C0">
      <w:pPr>
        <w:pStyle w:val="Notedebasdepage"/>
        <w:jc w:val="both"/>
        <w:rPr>
          <w:lang w:val="fr-BE"/>
        </w:rPr>
      </w:pPr>
      <w:r>
        <w:rPr>
          <w:rStyle w:val="Appelnotedebasdep"/>
        </w:rPr>
        <w:footnoteRef/>
      </w:r>
      <w:r w:rsidRPr="005D371A">
        <w:rPr>
          <w:lang w:val="fr-BE"/>
        </w:rPr>
        <w:t xml:space="preserve"> </w:t>
      </w:r>
      <w:r w:rsidRPr="0044600F">
        <w:rPr>
          <w:smallCaps/>
          <w:lang w:val="fr-BE"/>
        </w:rPr>
        <w:t>M. Gouverneur</w:t>
      </w:r>
      <w:r>
        <w:rPr>
          <w:lang w:val="fr-BE"/>
        </w:rPr>
        <w:t>,</w:t>
      </w:r>
      <w:r w:rsidRPr="0044600F">
        <w:rPr>
          <w:lang w:val="fr-BE"/>
        </w:rPr>
        <w:t xml:space="preserve"> </w:t>
      </w:r>
      <w:r>
        <w:rPr>
          <w:lang w:val="fr-BE"/>
        </w:rPr>
        <w:t>« </w:t>
      </w:r>
      <w:r w:rsidRPr="0044600F">
        <w:rPr>
          <w:lang w:val="fr-BE"/>
        </w:rPr>
        <w:t>Les clauses abusives dans les contrats conclus entre les entreprises ou les personnes exerçant une profession libérale et les consommateurs (Volume 2)</w:t>
      </w:r>
      <w:r>
        <w:rPr>
          <w:lang w:val="fr-BE"/>
        </w:rPr>
        <w:t xml:space="preserve"> », </w:t>
      </w:r>
      <w:r w:rsidRPr="0044600F">
        <w:rPr>
          <w:i/>
          <w:lang w:val="fr-BE"/>
        </w:rPr>
        <w:t>Guide juridique de l'entreprise - Traité théorique et pratique</w:t>
      </w:r>
      <w:r>
        <w:rPr>
          <w:lang w:val="fr-BE"/>
        </w:rPr>
        <w:t>, 2017</w:t>
      </w:r>
      <w:r w:rsidRPr="0044600F">
        <w:rPr>
          <w:lang w:val="fr-BE"/>
        </w:rPr>
        <w:t xml:space="preserve">, </w:t>
      </w:r>
      <w:r>
        <w:rPr>
          <w:lang w:val="fr-BE"/>
        </w:rPr>
        <w:t xml:space="preserve">pp. 63-64 ; </w:t>
      </w:r>
      <w:r w:rsidRPr="005D371A">
        <w:rPr>
          <w:smallCaps/>
          <w:lang w:val="fr-BE"/>
        </w:rPr>
        <w:t xml:space="preserve">S. </w:t>
      </w:r>
      <w:proofErr w:type="spellStart"/>
      <w:r w:rsidRPr="005D371A">
        <w:rPr>
          <w:smallCaps/>
          <w:lang w:val="fr-BE"/>
        </w:rPr>
        <w:t>Stijns</w:t>
      </w:r>
      <w:proofErr w:type="spellEnd"/>
      <w:r w:rsidRPr="005D371A">
        <w:rPr>
          <w:smallCaps/>
          <w:lang w:val="fr-BE"/>
        </w:rPr>
        <w:t>,</w:t>
      </w:r>
      <w:r w:rsidRPr="005D371A">
        <w:rPr>
          <w:lang w:val="fr-BE"/>
        </w:rPr>
        <w:t xml:space="preserve"> </w:t>
      </w:r>
      <w:r w:rsidRPr="005D371A">
        <w:rPr>
          <w:i/>
          <w:lang w:val="fr-BE"/>
        </w:rPr>
        <w:t xml:space="preserve">op. </w:t>
      </w:r>
      <w:proofErr w:type="spellStart"/>
      <w:r w:rsidRPr="005D371A">
        <w:rPr>
          <w:i/>
          <w:lang w:val="fr-BE"/>
        </w:rPr>
        <w:t>cit</w:t>
      </w:r>
      <w:proofErr w:type="spellEnd"/>
      <w:r w:rsidRPr="005D371A">
        <w:rPr>
          <w:i/>
          <w:lang w:val="fr-BE"/>
        </w:rPr>
        <w:t>.</w:t>
      </w:r>
      <w:r w:rsidRPr="005D371A">
        <w:rPr>
          <w:lang w:val="fr-BE"/>
        </w:rPr>
        <w:t xml:space="preserve">, </w:t>
      </w:r>
      <w:r w:rsidRPr="005D371A">
        <w:rPr>
          <w:i/>
          <w:lang w:val="fr-BE"/>
        </w:rPr>
        <w:t>R.D.C.</w:t>
      </w:r>
      <w:r>
        <w:rPr>
          <w:lang w:val="fr-BE"/>
        </w:rPr>
        <w:t xml:space="preserve">, 2000, p. 162, n° 39 ;  </w:t>
      </w:r>
      <w:r w:rsidRPr="00456072">
        <w:rPr>
          <w:smallCaps/>
          <w:lang w:val="fr-BE"/>
        </w:rPr>
        <w:t xml:space="preserve">P. </w:t>
      </w:r>
      <w:proofErr w:type="spellStart"/>
      <w:r w:rsidRPr="00456072">
        <w:rPr>
          <w:smallCaps/>
          <w:lang w:val="fr-BE"/>
        </w:rPr>
        <w:t>Cambie</w:t>
      </w:r>
      <w:proofErr w:type="spellEnd"/>
      <w:r>
        <w:rPr>
          <w:lang w:val="fr-BE"/>
        </w:rPr>
        <w:t xml:space="preserve">, </w:t>
      </w:r>
      <w:r>
        <w:rPr>
          <w:i/>
          <w:lang w:val="fr-BE"/>
        </w:rPr>
        <w:t xml:space="preserve">op. </w:t>
      </w:r>
      <w:proofErr w:type="spellStart"/>
      <w:r>
        <w:rPr>
          <w:i/>
          <w:lang w:val="fr-BE"/>
        </w:rPr>
        <w:t>cit</w:t>
      </w:r>
      <w:proofErr w:type="spellEnd"/>
      <w:r>
        <w:rPr>
          <w:i/>
          <w:lang w:val="fr-BE"/>
        </w:rPr>
        <w:t>.</w:t>
      </w:r>
      <w:r>
        <w:rPr>
          <w:lang w:val="fr-BE"/>
        </w:rPr>
        <w:t>, 2009, p. 279, n° 339.</w:t>
      </w:r>
    </w:p>
  </w:footnote>
  <w:footnote w:id="87">
    <w:p w:rsidR="009D2186" w:rsidRPr="00565554" w:rsidRDefault="009D2186" w:rsidP="005E5421">
      <w:pPr>
        <w:pStyle w:val="Notedebasdepage"/>
        <w:jc w:val="both"/>
        <w:rPr>
          <w:lang w:val="fr-BE"/>
        </w:rPr>
      </w:pPr>
      <w:r>
        <w:rPr>
          <w:rStyle w:val="Appelnotedebasdep"/>
        </w:rPr>
        <w:footnoteRef/>
      </w:r>
      <w:r w:rsidRPr="00565554">
        <w:rPr>
          <w:lang w:val="fr-BE"/>
        </w:rPr>
        <w:t xml:space="preserve"> </w:t>
      </w:r>
      <w:proofErr w:type="spellStart"/>
      <w:r w:rsidRPr="00565554">
        <w:rPr>
          <w:lang w:val="fr-BE"/>
        </w:rPr>
        <w:t>C</w:t>
      </w:r>
      <w:r>
        <w:rPr>
          <w:lang w:val="fr-BE"/>
        </w:rPr>
        <w:t>ass</w:t>
      </w:r>
      <w:proofErr w:type="spellEnd"/>
      <w:r>
        <w:rPr>
          <w:lang w:val="fr-BE"/>
        </w:rPr>
        <w:t>., 4 mars 198</w:t>
      </w:r>
      <w:r w:rsidRPr="00565554">
        <w:rPr>
          <w:lang w:val="fr-BE"/>
        </w:rPr>
        <w:t xml:space="preserve">2, </w:t>
      </w:r>
      <w:r w:rsidRPr="00565554">
        <w:rPr>
          <w:i/>
          <w:lang w:val="fr-BE"/>
        </w:rPr>
        <w:t>Pas.</w:t>
      </w:r>
      <w:r>
        <w:rPr>
          <w:lang w:val="fr-BE"/>
        </w:rPr>
        <w:t>, 198</w:t>
      </w:r>
      <w:r w:rsidRPr="00565554">
        <w:rPr>
          <w:lang w:val="fr-BE"/>
        </w:rPr>
        <w:t xml:space="preserve">2, I, p. </w:t>
      </w:r>
      <w:r>
        <w:rPr>
          <w:lang w:val="fr-BE"/>
        </w:rPr>
        <w:t xml:space="preserve">798, note. Ainsi l’opération de cession de contrat synallagmatique doit être scindée, d’une part, en cession de créance et, d’autre part, en une convention organisant la cession de dettes (ce qui implique une application distributive des règles relatives à chacune de ces institutions).  </w:t>
      </w:r>
    </w:p>
  </w:footnote>
  <w:footnote w:id="88">
    <w:p w:rsidR="009D2186" w:rsidRPr="00377847" w:rsidRDefault="009D2186" w:rsidP="005E5421">
      <w:pPr>
        <w:pStyle w:val="Notedebasdepage"/>
        <w:jc w:val="both"/>
        <w:rPr>
          <w:lang w:val="fr-BE"/>
        </w:rPr>
      </w:pPr>
      <w:r>
        <w:rPr>
          <w:rStyle w:val="Appelnotedebasdep"/>
        </w:rPr>
        <w:footnoteRef/>
      </w:r>
      <w:r w:rsidRPr="00377847">
        <w:rPr>
          <w:lang w:val="fr-BE"/>
        </w:rPr>
        <w:t xml:space="preserve"> </w:t>
      </w:r>
      <w:r w:rsidRPr="00377847">
        <w:rPr>
          <w:smallCaps/>
          <w:lang w:val="fr-BE"/>
        </w:rPr>
        <w:t xml:space="preserve">P. </w:t>
      </w:r>
      <w:proofErr w:type="spellStart"/>
      <w:r w:rsidRPr="00377847">
        <w:rPr>
          <w:smallCaps/>
          <w:lang w:val="fr-BE"/>
        </w:rPr>
        <w:t>Wéry</w:t>
      </w:r>
      <w:proofErr w:type="spellEnd"/>
      <w:r w:rsidRPr="00377847">
        <w:rPr>
          <w:lang w:val="fr-BE"/>
        </w:rPr>
        <w:t xml:space="preserve">, </w:t>
      </w:r>
      <w:r w:rsidRPr="00377847">
        <w:rPr>
          <w:i/>
          <w:lang w:val="fr-BE"/>
        </w:rPr>
        <w:t>Droit des obligations</w:t>
      </w:r>
      <w:r w:rsidRPr="00377847">
        <w:rPr>
          <w:lang w:val="fr-BE"/>
        </w:rPr>
        <w:t xml:space="preserve">, vol. 2, </w:t>
      </w:r>
      <w:r w:rsidRPr="00377847">
        <w:rPr>
          <w:i/>
          <w:lang w:val="fr-BE"/>
        </w:rPr>
        <w:t>Les sources des obligations contractuelles, Le régime général des obligations</w:t>
      </w:r>
      <w:r w:rsidRPr="00377847">
        <w:rPr>
          <w:lang w:val="fr-BE"/>
        </w:rPr>
        <w:t xml:space="preserve">, Bruxelles, </w:t>
      </w:r>
      <w:proofErr w:type="spellStart"/>
      <w:r w:rsidRPr="00377847">
        <w:rPr>
          <w:lang w:val="fr-BE"/>
        </w:rPr>
        <w:t>Larcier</w:t>
      </w:r>
      <w:proofErr w:type="spellEnd"/>
      <w:r w:rsidRPr="00377847">
        <w:rPr>
          <w:lang w:val="fr-BE"/>
        </w:rPr>
        <w:t>, 2016</w:t>
      </w:r>
      <w:r>
        <w:rPr>
          <w:lang w:val="fr-BE"/>
        </w:rPr>
        <w:t xml:space="preserve">, pp. 914 et s. </w:t>
      </w:r>
    </w:p>
  </w:footnote>
  <w:footnote w:id="89">
    <w:p w:rsidR="009D2186" w:rsidRPr="001F769C" w:rsidRDefault="009D2186" w:rsidP="00E10476">
      <w:pPr>
        <w:pStyle w:val="Notedebasdepage"/>
        <w:jc w:val="both"/>
        <w:rPr>
          <w:lang w:val="fr-BE"/>
        </w:rPr>
      </w:pPr>
      <w:r>
        <w:rPr>
          <w:rStyle w:val="Appelnotedebasdep"/>
        </w:rPr>
        <w:footnoteRef/>
      </w:r>
      <w:r w:rsidRPr="00E10476">
        <w:rPr>
          <w:lang w:val="nl-BE"/>
        </w:rPr>
        <w:t xml:space="preserve"> </w:t>
      </w:r>
      <w:r w:rsidRPr="00E10476">
        <w:rPr>
          <w:smallCaps/>
          <w:lang w:val="nl-BE"/>
        </w:rPr>
        <w:t>S. Stijns,</w:t>
      </w:r>
      <w:r>
        <w:rPr>
          <w:lang w:val="nl-BE"/>
        </w:rPr>
        <w:t xml:space="preserve"> </w:t>
      </w:r>
      <w:r>
        <w:rPr>
          <w:i/>
          <w:lang w:val="nl-BE"/>
        </w:rPr>
        <w:t>op. cit.</w:t>
      </w:r>
      <w:r>
        <w:rPr>
          <w:lang w:val="nl-BE"/>
        </w:rPr>
        <w:t xml:space="preserve">, </w:t>
      </w:r>
      <w:r>
        <w:rPr>
          <w:i/>
          <w:lang w:val="nl-BE"/>
        </w:rPr>
        <w:t>R.D.C.</w:t>
      </w:r>
      <w:r>
        <w:rPr>
          <w:lang w:val="nl-BE"/>
        </w:rPr>
        <w:t xml:space="preserve">, 2000, p. 163 ; </w:t>
      </w:r>
      <w:r w:rsidRPr="00B56295">
        <w:rPr>
          <w:smallCaps/>
          <w:lang w:val="nl-BE"/>
        </w:rPr>
        <w:t>R. Steennot</w:t>
      </w:r>
      <w:r w:rsidRPr="00B56295">
        <w:rPr>
          <w:lang w:val="nl-BE"/>
        </w:rPr>
        <w:t xml:space="preserve">, « Commentaar bij art. </w:t>
      </w:r>
      <w:r w:rsidRPr="001F769C">
        <w:rPr>
          <w:lang w:val="fr-BE"/>
        </w:rPr>
        <w:t xml:space="preserve">VI.83, 31° WER », </w:t>
      </w:r>
      <w:r w:rsidRPr="008A424A">
        <w:rPr>
          <w:i/>
          <w:lang w:val="fr-BE"/>
        </w:rPr>
        <w:t>O.H.R.A.</w:t>
      </w:r>
      <w:r>
        <w:rPr>
          <w:i/>
          <w:lang w:val="fr-BE"/>
        </w:rPr>
        <w:t xml:space="preserve">, </w:t>
      </w:r>
      <w:r w:rsidRPr="001F769C">
        <w:rPr>
          <w:lang w:val="fr-BE"/>
        </w:rPr>
        <w:t>2017, p. 3, n° 2.</w:t>
      </w:r>
    </w:p>
  </w:footnote>
  <w:footnote w:id="90">
    <w:p w:rsidR="009D2186" w:rsidRPr="005E5421" w:rsidRDefault="009D2186" w:rsidP="005E5421">
      <w:pPr>
        <w:pStyle w:val="Notedebasdepage"/>
        <w:jc w:val="both"/>
        <w:rPr>
          <w:lang w:val="fr-BE"/>
        </w:rPr>
      </w:pPr>
      <w:r>
        <w:rPr>
          <w:rStyle w:val="Appelnotedebasdep"/>
        </w:rPr>
        <w:footnoteRef/>
      </w:r>
      <w:r w:rsidRPr="005E5421">
        <w:rPr>
          <w:lang w:val="fr-BE"/>
        </w:rPr>
        <w:t xml:space="preserve"> </w:t>
      </w:r>
      <w:r>
        <w:rPr>
          <w:lang w:val="fr-BE"/>
        </w:rPr>
        <w:t>Il ne sera pas aisé de déterminer sur quelle partie repose « normalement » le risque économique. L’on pourrait s’appuyer d’une part sur un principe-clef de l’analyse économique du droit selon lequel « </w:t>
      </w:r>
      <w:r w:rsidRPr="005E5421">
        <w:rPr>
          <w:i/>
          <w:lang w:val="fr-BE"/>
        </w:rPr>
        <w:t>le risque pèse normalement sur la partie la mieux placée pour l’assumer au meilleur coût</w:t>
      </w:r>
      <w:r>
        <w:rPr>
          <w:lang w:val="fr-BE"/>
        </w:rPr>
        <w:t> » (</w:t>
      </w:r>
      <w:r w:rsidRPr="00B82110">
        <w:rPr>
          <w:smallCaps/>
          <w:lang w:val="fr-BE"/>
        </w:rPr>
        <w:t xml:space="preserve">R. </w:t>
      </w:r>
      <w:proofErr w:type="spellStart"/>
      <w:r w:rsidRPr="00B82110">
        <w:rPr>
          <w:smallCaps/>
          <w:lang w:val="fr-BE"/>
        </w:rPr>
        <w:t>Jafferali</w:t>
      </w:r>
      <w:proofErr w:type="spellEnd"/>
      <w:r w:rsidRPr="00B82110">
        <w:rPr>
          <w:lang w:val="fr-BE"/>
        </w:rPr>
        <w:t xml:space="preserve">, </w:t>
      </w:r>
      <w:r w:rsidRPr="00B82110">
        <w:rPr>
          <w:i/>
          <w:iCs/>
          <w:lang w:val="fr-BE"/>
        </w:rPr>
        <w:t xml:space="preserve">op. </w:t>
      </w:r>
      <w:proofErr w:type="spellStart"/>
      <w:r w:rsidRPr="00B82110">
        <w:rPr>
          <w:i/>
          <w:iCs/>
          <w:lang w:val="fr-BE"/>
        </w:rPr>
        <w:t>cit</w:t>
      </w:r>
      <w:proofErr w:type="spellEnd"/>
      <w:r w:rsidRPr="00B82110">
        <w:rPr>
          <w:i/>
          <w:iCs/>
          <w:lang w:val="fr-BE"/>
        </w:rPr>
        <w:t xml:space="preserve">., </w:t>
      </w:r>
      <w:r w:rsidRPr="00B82110">
        <w:rPr>
          <w:i/>
          <w:lang w:val="fr-BE"/>
        </w:rPr>
        <w:t>J.T.</w:t>
      </w:r>
      <w:r w:rsidRPr="00B82110">
        <w:rPr>
          <w:lang w:val="fr-BE"/>
        </w:rPr>
        <w:t xml:space="preserve">, 2020, p. </w:t>
      </w:r>
      <w:r>
        <w:rPr>
          <w:lang w:val="fr-BE"/>
        </w:rPr>
        <w:t>307, n° 29). En outre, la théorie des risques (au sens juridique du terme), qui régit le sort de la contreprestation lorsque la prestation du débiteur est rendue impossible par cas de force majeure, pourrait également servir de guide afin de déterminer quelle partie devrait normalement supporter le risque en cause (</w:t>
      </w:r>
      <w:r w:rsidRPr="005E5421">
        <w:rPr>
          <w:smallCaps/>
          <w:lang w:val="fr-BE"/>
        </w:rPr>
        <w:t xml:space="preserve">R. </w:t>
      </w:r>
      <w:proofErr w:type="spellStart"/>
      <w:r w:rsidRPr="005E5421">
        <w:rPr>
          <w:smallCaps/>
          <w:lang w:val="fr-BE"/>
        </w:rPr>
        <w:t>Jafferali</w:t>
      </w:r>
      <w:proofErr w:type="spellEnd"/>
      <w:r>
        <w:rPr>
          <w:lang w:val="fr-BE"/>
        </w:rPr>
        <w:t xml:space="preserve">, </w:t>
      </w:r>
      <w:r>
        <w:rPr>
          <w:i/>
          <w:lang w:val="fr-BE"/>
        </w:rPr>
        <w:t>ibidem</w:t>
      </w:r>
      <w:r>
        <w:rPr>
          <w:lang w:val="fr-BE"/>
        </w:rPr>
        <w:t xml:space="preserve">, p. 307, n° 29). </w:t>
      </w:r>
    </w:p>
  </w:footnote>
  <w:footnote w:id="91">
    <w:p w:rsidR="009D2186" w:rsidRPr="00623AFC" w:rsidRDefault="009D2186" w:rsidP="00623AFC">
      <w:pPr>
        <w:pStyle w:val="NormalWeb"/>
        <w:spacing w:before="0" w:beforeAutospacing="0" w:after="0" w:afterAutospacing="0"/>
        <w:jc w:val="both"/>
        <w:rPr>
          <w:sz w:val="20"/>
          <w:szCs w:val="20"/>
          <w:lang w:val="nl-BE"/>
        </w:rPr>
      </w:pPr>
      <w:r w:rsidRPr="00623AFC">
        <w:rPr>
          <w:rStyle w:val="Appelnotedebasdep"/>
          <w:sz w:val="20"/>
          <w:szCs w:val="20"/>
        </w:rPr>
        <w:footnoteRef/>
      </w:r>
      <w:r w:rsidRPr="00623AFC">
        <w:rPr>
          <w:sz w:val="20"/>
          <w:szCs w:val="20"/>
        </w:rPr>
        <w:t xml:space="preserve"> Le caractère </w:t>
      </w:r>
      <w:proofErr w:type="spellStart"/>
      <w:r w:rsidRPr="00623AFC">
        <w:rPr>
          <w:sz w:val="20"/>
          <w:szCs w:val="20"/>
        </w:rPr>
        <w:t>réfragable</w:t>
      </w:r>
      <w:proofErr w:type="spellEnd"/>
      <w:r w:rsidRPr="00623AFC">
        <w:rPr>
          <w:sz w:val="20"/>
          <w:szCs w:val="20"/>
        </w:rPr>
        <w:t xml:space="preserve"> de la présomption pourrait inciter les parties à introduire dans leurs conventions des clauses stipulant que le partage des risques convenu a été pris en compte dans le cadre de détermination du prix ou encore qu’il est justifié en raison de telle ou telle autre stipulation (</w:t>
      </w:r>
      <w:proofErr w:type="spellStart"/>
      <w:r w:rsidRPr="00623AFC">
        <w:rPr>
          <w:sz w:val="20"/>
          <w:szCs w:val="20"/>
        </w:rPr>
        <w:t>voy</w:t>
      </w:r>
      <w:proofErr w:type="spellEnd"/>
      <w:r w:rsidRPr="00623AFC">
        <w:rPr>
          <w:sz w:val="20"/>
          <w:szCs w:val="20"/>
        </w:rPr>
        <w:t xml:space="preserve">.  </w:t>
      </w:r>
      <w:r w:rsidRPr="00623AFC">
        <w:rPr>
          <w:smallCaps/>
          <w:sz w:val="20"/>
          <w:szCs w:val="20"/>
        </w:rPr>
        <w:t xml:space="preserve">I. </w:t>
      </w:r>
      <w:proofErr w:type="spellStart"/>
      <w:r w:rsidRPr="00623AFC">
        <w:rPr>
          <w:smallCaps/>
          <w:sz w:val="20"/>
          <w:szCs w:val="20"/>
        </w:rPr>
        <w:t>Claeys</w:t>
      </w:r>
      <w:proofErr w:type="spellEnd"/>
      <w:r w:rsidRPr="00623AFC">
        <w:rPr>
          <w:sz w:val="20"/>
          <w:szCs w:val="20"/>
        </w:rPr>
        <w:t xml:space="preserve"> et </w:t>
      </w:r>
      <w:r w:rsidRPr="00623AFC">
        <w:rPr>
          <w:smallCaps/>
          <w:sz w:val="20"/>
          <w:szCs w:val="20"/>
        </w:rPr>
        <w:t xml:space="preserve">T. </w:t>
      </w:r>
      <w:proofErr w:type="spellStart"/>
      <w:r w:rsidRPr="00623AFC">
        <w:rPr>
          <w:smallCaps/>
          <w:sz w:val="20"/>
          <w:szCs w:val="20"/>
        </w:rPr>
        <w:t>Tanghe</w:t>
      </w:r>
      <w:proofErr w:type="spellEnd"/>
      <w:r w:rsidRPr="00623AFC">
        <w:rPr>
          <w:sz w:val="20"/>
          <w:szCs w:val="20"/>
        </w:rPr>
        <w:t xml:space="preserve">, </w:t>
      </w:r>
      <w:r w:rsidRPr="00623AFC">
        <w:rPr>
          <w:i/>
          <w:sz w:val="20"/>
          <w:szCs w:val="20"/>
        </w:rPr>
        <w:t xml:space="preserve">op. </w:t>
      </w:r>
      <w:proofErr w:type="spellStart"/>
      <w:r w:rsidRPr="00623AFC">
        <w:rPr>
          <w:i/>
          <w:sz w:val="20"/>
          <w:szCs w:val="20"/>
        </w:rPr>
        <w:t>cit</w:t>
      </w:r>
      <w:proofErr w:type="spellEnd"/>
      <w:r w:rsidRPr="00623AFC">
        <w:rPr>
          <w:i/>
          <w:sz w:val="20"/>
          <w:szCs w:val="20"/>
        </w:rPr>
        <w:t>.</w:t>
      </w:r>
      <w:r w:rsidRPr="00623AFC">
        <w:rPr>
          <w:sz w:val="20"/>
          <w:szCs w:val="20"/>
        </w:rPr>
        <w:t xml:space="preserve">, </w:t>
      </w:r>
      <w:r w:rsidRPr="00623AFC">
        <w:rPr>
          <w:i/>
          <w:sz w:val="20"/>
          <w:szCs w:val="20"/>
        </w:rPr>
        <w:t>R.W.</w:t>
      </w:r>
      <w:r w:rsidRPr="00623AFC">
        <w:rPr>
          <w:sz w:val="20"/>
          <w:szCs w:val="20"/>
        </w:rPr>
        <w:t>, 2019-2020, p. 339, n° 53). Encore convient-il de se garder de toute « clause de style » en la matière, auquel cas la norme générale</w:t>
      </w:r>
      <w:r>
        <w:rPr>
          <w:sz w:val="20"/>
          <w:szCs w:val="20"/>
        </w:rPr>
        <w:t xml:space="preserve"> (le « déséquilibre manifeste » visé à l’article VI.91/3, du CDE)</w:t>
      </w:r>
      <w:r w:rsidRPr="00623AFC">
        <w:rPr>
          <w:sz w:val="20"/>
          <w:szCs w:val="20"/>
        </w:rPr>
        <w:t xml:space="preserve"> pourrait s’appliquer  (</w:t>
      </w:r>
      <w:proofErr w:type="spellStart"/>
      <w:r w:rsidRPr="00623AFC">
        <w:rPr>
          <w:sz w:val="20"/>
          <w:szCs w:val="20"/>
        </w:rPr>
        <w:t>voy</w:t>
      </w:r>
      <w:proofErr w:type="spellEnd"/>
      <w:r w:rsidRPr="00623AFC">
        <w:rPr>
          <w:sz w:val="20"/>
          <w:szCs w:val="20"/>
        </w:rPr>
        <w:t xml:space="preserve">. </w:t>
      </w:r>
      <w:r w:rsidRPr="001F769C">
        <w:rPr>
          <w:smallCaps/>
          <w:sz w:val="20"/>
          <w:szCs w:val="20"/>
          <w:lang w:val="nl-BE"/>
        </w:rPr>
        <w:t>R. Steennot</w:t>
      </w:r>
      <w:r w:rsidRPr="001F769C">
        <w:rPr>
          <w:sz w:val="20"/>
          <w:szCs w:val="20"/>
          <w:lang w:val="nl-BE"/>
        </w:rPr>
        <w:t xml:space="preserve">, « Commentaar bij art. </w:t>
      </w:r>
      <w:r w:rsidRPr="00623AFC">
        <w:rPr>
          <w:sz w:val="20"/>
          <w:szCs w:val="20"/>
          <w:lang w:val="nl-BE"/>
        </w:rPr>
        <w:t xml:space="preserve">VI.91/5 WER », </w:t>
      </w:r>
      <w:r w:rsidRPr="00623AFC">
        <w:rPr>
          <w:i/>
          <w:sz w:val="20"/>
          <w:szCs w:val="20"/>
          <w:lang w:val="nl-BE"/>
        </w:rPr>
        <w:t>O.H.R.A.</w:t>
      </w:r>
      <w:r w:rsidRPr="00623AFC">
        <w:rPr>
          <w:sz w:val="20"/>
          <w:szCs w:val="20"/>
          <w:lang w:val="nl-BE"/>
        </w:rPr>
        <w:t>, 2019, p. 8, n° 12 : « </w:t>
      </w:r>
      <w:r w:rsidRPr="00623AFC">
        <w:rPr>
          <w:i/>
          <w:iCs/>
          <w:sz w:val="20"/>
          <w:szCs w:val="20"/>
          <w:lang w:val="nl-BE"/>
        </w:rPr>
        <w:t>In de mate waarin een dergelijk beding een sta</w:t>
      </w:r>
      <w:r>
        <w:rPr>
          <w:i/>
          <w:iCs/>
          <w:sz w:val="20"/>
          <w:szCs w:val="20"/>
          <w:lang w:val="nl-BE"/>
        </w:rPr>
        <w:t>n</w:t>
      </w:r>
      <w:r w:rsidRPr="00623AFC">
        <w:rPr>
          <w:i/>
          <w:iCs/>
          <w:sz w:val="20"/>
          <w:szCs w:val="20"/>
          <w:lang w:val="nl-BE"/>
        </w:rPr>
        <w:t>daardclausule is, lijkt het zelf evenwel niet immuun voor onrechtmatigheid op grond van de algemene toetsingsnorm uit artikel VI.91/3 WER</w:t>
      </w:r>
      <w:r w:rsidRPr="00623AFC">
        <w:rPr>
          <w:sz w:val="20"/>
          <w:szCs w:val="20"/>
          <w:lang w:val="nl-BE"/>
        </w:rPr>
        <w:t> »</w:t>
      </w:r>
      <w:r>
        <w:rPr>
          <w:sz w:val="20"/>
          <w:szCs w:val="20"/>
          <w:lang w:val="nl-BE"/>
        </w:rPr>
        <w:t>)</w:t>
      </w:r>
      <w:r w:rsidRPr="00623AFC">
        <w:rPr>
          <w:sz w:val="20"/>
          <w:szCs w:val="20"/>
          <w:lang w:val="nl-BE"/>
        </w:rPr>
        <w:t>.</w:t>
      </w:r>
    </w:p>
  </w:footnote>
  <w:footnote w:id="92">
    <w:p w:rsidR="009D2186" w:rsidRPr="00623AFC" w:rsidRDefault="009D2186" w:rsidP="001A3324">
      <w:pPr>
        <w:pStyle w:val="Notedebasdepage"/>
        <w:jc w:val="both"/>
        <w:rPr>
          <w:rFonts w:cs="Times New Roman"/>
          <w:lang w:val="fr-BE"/>
        </w:rPr>
      </w:pPr>
      <w:r w:rsidRPr="00623AFC">
        <w:rPr>
          <w:rStyle w:val="Appelnotedebasdep"/>
          <w:rFonts w:cs="Times New Roman"/>
        </w:rPr>
        <w:footnoteRef/>
      </w:r>
      <w:r w:rsidRPr="00623AFC">
        <w:rPr>
          <w:rFonts w:cs="Times New Roman"/>
          <w:lang w:val="fr-BE"/>
        </w:rPr>
        <w:t xml:space="preserve"> </w:t>
      </w:r>
      <w:r w:rsidRPr="00623AFC">
        <w:rPr>
          <w:rFonts w:cs="Times New Roman"/>
          <w:smallCaps/>
          <w:lang w:val="fr-BE"/>
        </w:rPr>
        <w:t xml:space="preserve">I. </w:t>
      </w:r>
      <w:proofErr w:type="spellStart"/>
      <w:r w:rsidRPr="00623AFC">
        <w:rPr>
          <w:rFonts w:cs="Times New Roman"/>
          <w:smallCaps/>
          <w:lang w:val="fr-BE"/>
        </w:rPr>
        <w:t>Claeys</w:t>
      </w:r>
      <w:proofErr w:type="spellEnd"/>
      <w:r w:rsidRPr="00623AFC">
        <w:rPr>
          <w:rFonts w:cs="Times New Roman"/>
          <w:lang w:val="fr-BE"/>
        </w:rPr>
        <w:t xml:space="preserve"> et </w:t>
      </w:r>
      <w:r w:rsidRPr="00623AFC">
        <w:rPr>
          <w:rFonts w:cs="Times New Roman"/>
          <w:smallCaps/>
          <w:lang w:val="fr-BE"/>
        </w:rPr>
        <w:t xml:space="preserve">T. </w:t>
      </w:r>
      <w:proofErr w:type="spellStart"/>
      <w:r w:rsidRPr="00623AFC">
        <w:rPr>
          <w:rFonts w:cs="Times New Roman"/>
          <w:smallCaps/>
          <w:lang w:val="fr-BE"/>
        </w:rPr>
        <w:t>Tanghe</w:t>
      </w:r>
      <w:proofErr w:type="spellEnd"/>
      <w:r w:rsidRPr="00623AFC">
        <w:rPr>
          <w:rFonts w:cs="Times New Roman"/>
          <w:lang w:val="fr-BE"/>
        </w:rPr>
        <w:t xml:space="preserve">, </w:t>
      </w:r>
      <w:r w:rsidR="00151932" w:rsidRPr="00151932">
        <w:rPr>
          <w:i/>
          <w:lang w:val="fr-BE"/>
        </w:rPr>
        <w:t xml:space="preserve">op. </w:t>
      </w:r>
      <w:proofErr w:type="spellStart"/>
      <w:r w:rsidR="00151932" w:rsidRPr="00151932">
        <w:rPr>
          <w:i/>
          <w:lang w:val="fr-BE"/>
        </w:rPr>
        <w:t>cit</w:t>
      </w:r>
      <w:proofErr w:type="spellEnd"/>
      <w:r w:rsidR="00151932" w:rsidRPr="00151932">
        <w:rPr>
          <w:i/>
          <w:lang w:val="fr-BE"/>
        </w:rPr>
        <w:t>.</w:t>
      </w:r>
      <w:r w:rsidR="00151932" w:rsidRPr="00151932">
        <w:rPr>
          <w:lang w:val="fr-BE"/>
        </w:rPr>
        <w:t xml:space="preserve">, </w:t>
      </w:r>
      <w:r w:rsidR="00151932" w:rsidRPr="00151932">
        <w:rPr>
          <w:i/>
          <w:lang w:val="fr-BE"/>
        </w:rPr>
        <w:t>R.W.</w:t>
      </w:r>
      <w:r w:rsidR="00151932" w:rsidRPr="00151932">
        <w:rPr>
          <w:lang w:val="fr-BE"/>
        </w:rPr>
        <w:t>, 2019-2020</w:t>
      </w:r>
      <w:r w:rsidRPr="00623AFC">
        <w:rPr>
          <w:rFonts w:cs="Times New Roman"/>
          <w:lang w:val="fr-BE"/>
        </w:rPr>
        <w:t>, p. 339, n° 54.</w:t>
      </w:r>
    </w:p>
  </w:footnote>
  <w:footnote w:id="93">
    <w:p w:rsidR="009D2186" w:rsidRPr="00623AFC" w:rsidRDefault="009D2186" w:rsidP="00695CAD">
      <w:pPr>
        <w:pStyle w:val="Notedebasdepage"/>
        <w:jc w:val="both"/>
        <w:rPr>
          <w:rFonts w:cs="Times New Roman"/>
          <w:lang w:val="fr-BE"/>
        </w:rPr>
      </w:pPr>
      <w:r w:rsidRPr="00623AFC">
        <w:rPr>
          <w:rStyle w:val="Appelnotedebasdep"/>
          <w:rFonts w:cs="Times New Roman"/>
        </w:rPr>
        <w:footnoteRef/>
      </w:r>
      <w:r w:rsidRPr="00623AFC">
        <w:rPr>
          <w:rFonts w:cs="Times New Roman"/>
          <w:lang w:val="nl-BE"/>
        </w:rPr>
        <w:t xml:space="preserve"> Voy. S</w:t>
      </w:r>
      <w:r w:rsidRPr="00623AFC">
        <w:rPr>
          <w:rFonts w:cs="Times New Roman"/>
          <w:smallCaps/>
          <w:lang w:val="nl-BE"/>
        </w:rPr>
        <w:t>. De Pourcq</w:t>
      </w:r>
      <w:r w:rsidRPr="00623AFC">
        <w:rPr>
          <w:rFonts w:cs="Times New Roman"/>
          <w:lang w:val="nl-BE"/>
        </w:rPr>
        <w:t xml:space="preserve">, </w:t>
      </w:r>
      <w:r w:rsidRPr="00623AFC">
        <w:rPr>
          <w:rFonts w:cs="Times New Roman"/>
          <w:i/>
          <w:lang w:val="nl-BE"/>
        </w:rPr>
        <w:t>Oneerlijke handelspraktijken en bedingen in contracten tussen ondernemingen</w:t>
      </w:r>
      <w:r w:rsidRPr="00623AFC">
        <w:rPr>
          <w:rFonts w:cs="Times New Roman"/>
          <w:lang w:val="nl-BE"/>
        </w:rPr>
        <w:t xml:space="preserve">, Antwerpen, Intersentia, 2019, pp. 38-39, n° 30. </w:t>
      </w:r>
      <w:r w:rsidRPr="00623AFC">
        <w:rPr>
          <w:rFonts w:cs="Times New Roman"/>
          <w:lang w:val="fr-BE"/>
        </w:rPr>
        <w:t xml:space="preserve">Pour d’autres illustrations, </w:t>
      </w:r>
      <w:proofErr w:type="spellStart"/>
      <w:r w:rsidRPr="00623AFC">
        <w:rPr>
          <w:rFonts w:cs="Times New Roman"/>
          <w:lang w:val="fr-BE"/>
        </w:rPr>
        <w:t>voy</w:t>
      </w:r>
      <w:proofErr w:type="spellEnd"/>
      <w:r w:rsidRPr="00623AFC">
        <w:rPr>
          <w:rFonts w:cs="Times New Roman"/>
          <w:lang w:val="fr-BE"/>
        </w:rPr>
        <w:t xml:space="preserve">. </w:t>
      </w:r>
      <w:r w:rsidRPr="00623AFC">
        <w:rPr>
          <w:rFonts w:cs="Times New Roman"/>
          <w:smallCaps/>
          <w:lang w:val="fr-BE"/>
        </w:rPr>
        <w:t>D. Philippe</w:t>
      </w:r>
      <w:r w:rsidRPr="00623AFC">
        <w:rPr>
          <w:rFonts w:cs="Times New Roman"/>
          <w:lang w:val="fr-BE"/>
        </w:rPr>
        <w:t xml:space="preserve"> et </w:t>
      </w:r>
      <w:r w:rsidRPr="00623AFC">
        <w:rPr>
          <w:rFonts w:cs="Times New Roman"/>
          <w:smallCaps/>
          <w:lang w:val="fr-BE"/>
        </w:rPr>
        <w:t xml:space="preserve">G. </w:t>
      </w:r>
      <w:proofErr w:type="spellStart"/>
      <w:r w:rsidRPr="00623AFC">
        <w:rPr>
          <w:rFonts w:cs="Times New Roman"/>
          <w:smallCaps/>
          <w:lang w:val="fr-BE"/>
        </w:rPr>
        <w:t>Sorreaux</w:t>
      </w:r>
      <w:proofErr w:type="spellEnd"/>
      <w:r w:rsidRPr="00623AFC">
        <w:rPr>
          <w:rFonts w:cs="Times New Roman"/>
          <w:lang w:val="fr-BE"/>
        </w:rPr>
        <w:t xml:space="preserve">, </w:t>
      </w:r>
      <w:r w:rsidRPr="00623AFC">
        <w:rPr>
          <w:rFonts w:cs="Times New Roman"/>
          <w:i/>
          <w:lang w:val="fr-BE"/>
        </w:rPr>
        <w:t xml:space="preserve">op. </w:t>
      </w:r>
      <w:proofErr w:type="spellStart"/>
      <w:r w:rsidRPr="00623AFC">
        <w:rPr>
          <w:rFonts w:cs="Times New Roman"/>
          <w:i/>
          <w:lang w:val="fr-BE"/>
        </w:rPr>
        <w:t>cit</w:t>
      </w:r>
      <w:proofErr w:type="spellEnd"/>
      <w:r w:rsidRPr="00623AFC">
        <w:rPr>
          <w:rFonts w:cs="Times New Roman"/>
          <w:i/>
          <w:lang w:val="fr-BE"/>
        </w:rPr>
        <w:t>.</w:t>
      </w:r>
      <w:r w:rsidRPr="00623AFC">
        <w:rPr>
          <w:rFonts w:cs="Times New Roman"/>
          <w:lang w:val="fr-BE"/>
        </w:rPr>
        <w:t xml:space="preserve">, </w:t>
      </w:r>
      <w:r w:rsidRPr="00623AFC">
        <w:rPr>
          <w:rFonts w:cs="Times New Roman"/>
          <w:i/>
          <w:lang w:val="fr-BE"/>
        </w:rPr>
        <w:t>D.A.O.R.</w:t>
      </w:r>
      <w:r w:rsidRPr="00623AFC">
        <w:rPr>
          <w:rFonts w:cs="Times New Roman"/>
          <w:lang w:val="fr-BE"/>
        </w:rPr>
        <w:t xml:space="preserve">, 2019, p. 43 ; </w:t>
      </w:r>
      <w:r w:rsidRPr="00623AFC">
        <w:rPr>
          <w:rFonts w:cs="Times New Roman"/>
          <w:smallCaps/>
          <w:lang w:val="fr-BE"/>
        </w:rPr>
        <w:t xml:space="preserve">R. </w:t>
      </w:r>
      <w:proofErr w:type="spellStart"/>
      <w:r w:rsidRPr="00623AFC">
        <w:rPr>
          <w:rFonts w:cs="Times New Roman"/>
          <w:smallCaps/>
          <w:lang w:val="fr-BE"/>
        </w:rPr>
        <w:t>Steennot</w:t>
      </w:r>
      <w:proofErr w:type="spellEnd"/>
      <w:r w:rsidRPr="00623AFC">
        <w:rPr>
          <w:rFonts w:cs="Times New Roman"/>
          <w:lang w:val="fr-BE"/>
        </w:rPr>
        <w:t>, « </w:t>
      </w:r>
      <w:proofErr w:type="spellStart"/>
      <w:r w:rsidRPr="00623AFC">
        <w:rPr>
          <w:rFonts w:cs="Times New Roman"/>
          <w:lang w:val="fr-BE"/>
        </w:rPr>
        <w:t>Commentaar</w:t>
      </w:r>
      <w:proofErr w:type="spellEnd"/>
      <w:r w:rsidRPr="00623AFC">
        <w:rPr>
          <w:rFonts w:cs="Times New Roman"/>
          <w:lang w:val="fr-BE"/>
        </w:rPr>
        <w:t xml:space="preserve"> </w:t>
      </w:r>
      <w:proofErr w:type="spellStart"/>
      <w:r w:rsidRPr="00623AFC">
        <w:rPr>
          <w:rFonts w:cs="Times New Roman"/>
          <w:lang w:val="fr-BE"/>
        </w:rPr>
        <w:t>bij</w:t>
      </w:r>
      <w:proofErr w:type="spellEnd"/>
      <w:r w:rsidRPr="00623AFC">
        <w:rPr>
          <w:rFonts w:cs="Times New Roman"/>
          <w:lang w:val="fr-BE"/>
        </w:rPr>
        <w:t xml:space="preserve"> art. VI.91/5 WER », </w:t>
      </w:r>
      <w:r w:rsidRPr="00623AFC">
        <w:rPr>
          <w:rFonts w:cs="Times New Roman"/>
          <w:i/>
          <w:lang w:val="fr-BE"/>
        </w:rPr>
        <w:t>O.H.R.A.</w:t>
      </w:r>
      <w:r w:rsidRPr="00623AFC">
        <w:rPr>
          <w:rFonts w:cs="Times New Roman"/>
          <w:lang w:val="fr-BE"/>
        </w:rPr>
        <w:t>, 2019, p. 8, n° 11.</w:t>
      </w:r>
    </w:p>
  </w:footnote>
  <w:footnote w:id="94">
    <w:p w:rsidR="009D2186" w:rsidRPr="001F769C" w:rsidRDefault="009D2186" w:rsidP="005E5421">
      <w:pPr>
        <w:pStyle w:val="Notedebasdepage"/>
        <w:jc w:val="both"/>
        <w:rPr>
          <w:lang w:val="fr-BE"/>
        </w:rPr>
      </w:pPr>
      <w:r w:rsidRPr="00623AFC">
        <w:rPr>
          <w:rStyle w:val="Appelnotedebasdep"/>
          <w:rFonts w:cs="Times New Roman"/>
        </w:rPr>
        <w:footnoteRef/>
      </w:r>
      <w:r w:rsidRPr="001F769C">
        <w:rPr>
          <w:rFonts w:cs="Times New Roman"/>
          <w:lang w:val="fr-BE"/>
        </w:rPr>
        <w:t xml:space="preserve"> </w:t>
      </w:r>
      <w:r w:rsidRPr="001F769C">
        <w:rPr>
          <w:rFonts w:cs="Times New Roman"/>
          <w:smallCaps/>
          <w:lang w:val="fr-BE"/>
        </w:rPr>
        <w:t xml:space="preserve">R. </w:t>
      </w:r>
      <w:proofErr w:type="spellStart"/>
      <w:r w:rsidRPr="001F769C">
        <w:rPr>
          <w:rFonts w:cs="Times New Roman"/>
          <w:smallCaps/>
          <w:lang w:val="fr-BE"/>
        </w:rPr>
        <w:t>Jafferali</w:t>
      </w:r>
      <w:proofErr w:type="spellEnd"/>
      <w:r w:rsidRPr="001F769C">
        <w:rPr>
          <w:rFonts w:cs="Times New Roman"/>
          <w:lang w:val="fr-BE"/>
        </w:rPr>
        <w:t xml:space="preserve">, </w:t>
      </w:r>
      <w:r w:rsidRPr="001F769C">
        <w:rPr>
          <w:rFonts w:cs="Times New Roman"/>
          <w:i/>
          <w:iCs/>
          <w:lang w:val="fr-BE"/>
        </w:rPr>
        <w:t xml:space="preserve">op. </w:t>
      </w:r>
      <w:proofErr w:type="spellStart"/>
      <w:r w:rsidRPr="001F769C">
        <w:rPr>
          <w:rFonts w:cs="Times New Roman"/>
          <w:i/>
          <w:iCs/>
          <w:lang w:val="fr-BE"/>
        </w:rPr>
        <w:t>cit</w:t>
      </w:r>
      <w:proofErr w:type="spellEnd"/>
      <w:r w:rsidRPr="001F769C">
        <w:rPr>
          <w:rFonts w:cs="Times New Roman"/>
          <w:i/>
          <w:iCs/>
          <w:lang w:val="fr-BE"/>
        </w:rPr>
        <w:t xml:space="preserve">., </w:t>
      </w:r>
      <w:r w:rsidRPr="001F769C">
        <w:rPr>
          <w:rFonts w:cs="Times New Roman"/>
          <w:i/>
          <w:lang w:val="fr-BE"/>
        </w:rPr>
        <w:t>J.T.</w:t>
      </w:r>
      <w:r w:rsidRPr="001F769C">
        <w:rPr>
          <w:rFonts w:cs="Times New Roman"/>
          <w:lang w:val="fr-BE"/>
        </w:rPr>
        <w:t>, 2020, p. 306, n° 29.</w:t>
      </w:r>
    </w:p>
  </w:footnote>
  <w:footnote w:id="95">
    <w:p w:rsidR="009D2186" w:rsidRPr="005E5421" w:rsidRDefault="009D2186" w:rsidP="005E5421">
      <w:pPr>
        <w:pStyle w:val="Notedebasdepage"/>
        <w:jc w:val="both"/>
        <w:rPr>
          <w:lang w:val="fr-BE"/>
        </w:rPr>
      </w:pPr>
      <w:r>
        <w:rPr>
          <w:rStyle w:val="Appelnotedebasdep"/>
        </w:rPr>
        <w:footnoteRef/>
      </w:r>
      <w:r w:rsidRPr="005E5421">
        <w:rPr>
          <w:lang w:val="nl-BE"/>
        </w:rPr>
        <w:t xml:space="preserve"> </w:t>
      </w:r>
      <w:r w:rsidRPr="005E5421">
        <w:rPr>
          <w:i/>
          <w:lang w:val="nl-BE"/>
        </w:rPr>
        <w:t>Contra</w:t>
      </w:r>
      <w:r>
        <w:rPr>
          <w:lang w:val="nl-BE"/>
        </w:rPr>
        <w:t xml:space="preserve"> : </w:t>
      </w:r>
      <w:r w:rsidRPr="000670FD">
        <w:rPr>
          <w:lang w:val="nl-BE"/>
        </w:rPr>
        <w:t>S</w:t>
      </w:r>
      <w:r w:rsidRPr="000670FD">
        <w:rPr>
          <w:smallCaps/>
          <w:lang w:val="nl-BE"/>
        </w:rPr>
        <w:t>. De Pourcq</w:t>
      </w:r>
      <w:r w:rsidRPr="000670FD">
        <w:rPr>
          <w:lang w:val="nl-BE"/>
        </w:rPr>
        <w:t xml:space="preserve">, </w:t>
      </w:r>
      <w:r w:rsidRPr="000670FD">
        <w:rPr>
          <w:i/>
          <w:lang w:val="nl-BE"/>
        </w:rPr>
        <w:t>Oneerlijke handelspraktijken</w:t>
      </w:r>
      <w:r>
        <w:rPr>
          <w:i/>
          <w:lang w:val="nl-BE"/>
        </w:rPr>
        <w:t>, op. cit.</w:t>
      </w:r>
      <w:r>
        <w:rPr>
          <w:lang w:val="nl-BE"/>
        </w:rPr>
        <w:t>, 2019,</w:t>
      </w:r>
      <w:r w:rsidRPr="000670FD">
        <w:rPr>
          <w:lang w:val="nl-BE"/>
        </w:rPr>
        <w:t xml:space="preserve"> pp. 38-39, n° 30</w:t>
      </w:r>
      <w:r>
        <w:rPr>
          <w:lang w:val="nl-BE"/>
        </w:rPr>
        <w:t xml:space="preserve">. </w:t>
      </w:r>
      <w:proofErr w:type="spellStart"/>
      <w:r w:rsidRPr="005E5421">
        <w:rPr>
          <w:lang w:val="fr-BE"/>
        </w:rPr>
        <w:t>Voy</w:t>
      </w:r>
      <w:proofErr w:type="spellEnd"/>
      <w:r w:rsidRPr="005E5421">
        <w:rPr>
          <w:lang w:val="fr-BE"/>
        </w:rPr>
        <w:t xml:space="preserve">. </w:t>
      </w:r>
      <w:proofErr w:type="spellStart"/>
      <w:r w:rsidRPr="005E5421">
        <w:rPr>
          <w:lang w:val="fr-BE"/>
        </w:rPr>
        <w:t>ég</w:t>
      </w:r>
      <w:proofErr w:type="spellEnd"/>
      <w:r w:rsidRPr="005E5421">
        <w:rPr>
          <w:lang w:val="fr-BE"/>
        </w:rPr>
        <w:t>. S</w:t>
      </w:r>
      <w:r w:rsidRPr="005E5421">
        <w:rPr>
          <w:smallCaps/>
          <w:lang w:val="fr-BE"/>
        </w:rPr>
        <w:t xml:space="preserve">. De </w:t>
      </w:r>
      <w:proofErr w:type="spellStart"/>
      <w:r w:rsidRPr="005E5421">
        <w:rPr>
          <w:smallCaps/>
          <w:lang w:val="fr-BE"/>
        </w:rPr>
        <w:t>Pourcq</w:t>
      </w:r>
      <w:proofErr w:type="spellEnd"/>
      <w:r w:rsidRPr="005E5421">
        <w:rPr>
          <w:lang w:val="fr-BE"/>
        </w:rPr>
        <w:t xml:space="preserve">, </w:t>
      </w:r>
      <w:r w:rsidRPr="005E5421">
        <w:rPr>
          <w:i/>
          <w:lang w:val="fr-BE"/>
        </w:rPr>
        <w:t xml:space="preserve">op. </w:t>
      </w:r>
      <w:proofErr w:type="spellStart"/>
      <w:r w:rsidRPr="005E5421">
        <w:rPr>
          <w:i/>
          <w:lang w:val="fr-BE"/>
        </w:rPr>
        <w:t>cit</w:t>
      </w:r>
      <w:proofErr w:type="spellEnd"/>
      <w:r w:rsidRPr="005E5421">
        <w:rPr>
          <w:i/>
          <w:lang w:val="fr-BE"/>
        </w:rPr>
        <w:t>.</w:t>
      </w:r>
      <w:r w:rsidRPr="005E5421">
        <w:rPr>
          <w:lang w:val="fr-BE"/>
        </w:rPr>
        <w:t xml:space="preserve">, </w:t>
      </w:r>
      <w:r w:rsidRPr="005E5421">
        <w:rPr>
          <w:i/>
          <w:lang w:val="fr-BE"/>
        </w:rPr>
        <w:t>R.D.C.</w:t>
      </w:r>
      <w:r>
        <w:rPr>
          <w:lang w:val="fr-BE"/>
        </w:rPr>
        <w:t>, 2019, p. 660, n° 47.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54305"/>
    <w:multiLevelType w:val="hybridMultilevel"/>
    <w:tmpl w:val="0292F79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027269E"/>
    <w:multiLevelType w:val="hybridMultilevel"/>
    <w:tmpl w:val="FE7A234E"/>
    <w:lvl w:ilvl="0" w:tplc="3D1CD62C">
      <w:start w:val="1"/>
      <w:numFmt w:val="lowerRoman"/>
      <w:lvlText w:val="(%1)"/>
      <w:lvlJc w:val="left"/>
      <w:pPr>
        <w:ind w:left="1080" w:hanging="720"/>
      </w:pPr>
      <w:rPr>
        <w:rFonts w:hint="default"/>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5053BAA"/>
    <w:multiLevelType w:val="hybridMultilevel"/>
    <w:tmpl w:val="6CBE33D0"/>
    <w:lvl w:ilvl="0" w:tplc="F75ACCC6">
      <w:start w:val="6"/>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F7C"/>
    <w:rsid w:val="00001F6E"/>
    <w:rsid w:val="00005412"/>
    <w:rsid w:val="00005AEE"/>
    <w:rsid w:val="00010B55"/>
    <w:rsid w:val="0001153D"/>
    <w:rsid w:val="00013755"/>
    <w:rsid w:val="000142E4"/>
    <w:rsid w:val="000209B9"/>
    <w:rsid w:val="0002272F"/>
    <w:rsid w:val="00022AAC"/>
    <w:rsid w:val="00023E28"/>
    <w:rsid w:val="00024E59"/>
    <w:rsid w:val="00030B91"/>
    <w:rsid w:val="0003258F"/>
    <w:rsid w:val="00037502"/>
    <w:rsid w:val="00043011"/>
    <w:rsid w:val="0005108D"/>
    <w:rsid w:val="00051C0C"/>
    <w:rsid w:val="00052334"/>
    <w:rsid w:val="00057B52"/>
    <w:rsid w:val="00057EDA"/>
    <w:rsid w:val="000600BC"/>
    <w:rsid w:val="000633FF"/>
    <w:rsid w:val="000670FD"/>
    <w:rsid w:val="00076AD1"/>
    <w:rsid w:val="000800E1"/>
    <w:rsid w:val="00080B39"/>
    <w:rsid w:val="00094E56"/>
    <w:rsid w:val="00094EEC"/>
    <w:rsid w:val="00096B7D"/>
    <w:rsid w:val="000A08EF"/>
    <w:rsid w:val="000A523D"/>
    <w:rsid w:val="000B0BEC"/>
    <w:rsid w:val="000B3629"/>
    <w:rsid w:val="000C01C7"/>
    <w:rsid w:val="000C0869"/>
    <w:rsid w:val="000C1903"/>
    <w:rsid w:val="000C3614"/>
    <w:rsid w:val="000C41E6"/>
    <w:rsid w:val="000D0EFC"/>
    <w:rsid w:val="000D3334"/>
    <w:rsid w:val="000E29FD"/>
    <w:rsid w:val="000E361A"/>
    <w:rsid w:val="000F0261"/>
    <w:rsid w:val="000F1EB5"/>
    <w:rsid w:val="000F2F80"/>
    <w:rsid w:val="000F4391"/>
    <w:rsid w:val="001005D2"/>
    <w:rsid w:val="00100F51"/>
    <w:rsid w:val="001073F8"/>
    <w:rsid w:val="00111BD7"/>
    <w:rsid w:val="00111E80"/>
    <w:rsid w:val="0011204C"/>
    <w:rsid w:val="00114188"/>
    <w:rsid w:val="00120783"/>
    <w:rsid w:val="001208A9"/>
    <w:rsid w:val="00122BF5"/>
    <w:rsid w:val="001343AA"/>
    <w:rsid w:val="00136594"/>
    <w:rsid w:val="001369AF"/>
    <w:rsid w:val="00136DFE"/>
    <w:rsid w:val="001422AA"/>
    <w:rsid w:val="001450B4"/>
    <w:rsid w:val="00151932"/>
    <w:rsid w:val="0015782A"/>
    <w:rsid w:val="00173D22"/>
    <w:rsid w:val="00174AE1"/>
    <w:rsid w:val="001817E4"/>
    <w:rsid w:val="0018201F"/>
    <w:rsid w:val="001831CA"/>
    <w:rsid w:val="00183E30"/>
    <w:rsid w:val="00195E48"/>
    <w:rsid w:val="00196DFC"/>
    <w:rsid w:val="001A3324"/>
    <w:rsid w:val="001B028A"/>
    <w:rsid w:val="001B17D3"/>
    <w:rsid w:val="001B2C9E"/>
    <w:rsid w:val="001B4A6C"/>
    <w:rsid w:val="001C1795"/>
    <w:rsid w:val="001C637E"/>
    <w:rsid w:val="001C7680"/>
    <w:rsid w:val="001D0269"/>
    <w:rsid w:val="001D4ABA"/>
    <w:rsid w:val="001E05E8"/>
    <w:rsid w:val="001E3AA3"/>
    <w:rsid w:val="001F088B"/>
    <w:rsid w:val="001F2740"/>
    <w:rsid w:val="001F767C"/>
    <w:rsid w:val="001F769C"/>
    <w:rsid w:val="002009A9"/>
    <w:rsid w:val="00207B79"/>
    <w:rsid w:val="0021307E"/>
    <w:rsid w:val="00216104"/>
    <w:rsid w:val="002179B1"/>
    <w:rsid w:val="00220A19"/>
    <w:rsid w:val="00224DEB"/>
    <w:rsid w:val="002258A4"/>
    <w:rsid w:val="00232E4C"/>
    <w:rsid w:val="00241CC2"/>
    <w:rsid w:val="002426AD"/>
    <w:rsid w:val="0024783B"/>
    <w:rsid w:val="00253D62"/>
    <w:rsid w:val="00272976"/>
    <w:rsid w:val="002764C5"/>
    <w:rsid w:val="00290D4E"/>
    <w:rsid w:val="00296EEB"/>
    <w:rsid w:val="002A1420"/>
    <w:rsid w:val="002A29D9"/>
    <w:rsid w:val="002B1E5A"/>
    <w:rsid w:val="002B5493"/>
    <w:rsid w:val="002B5E09"/>
    <w:rsid w:val="002C10B0"/>
    <w:rsid w:val="002C1C3C"/>
    <w:rsid w:val="002D277D"/>
    <w:rsid w:val="002E5F56"/>
    <w:rsid w:val="002F6321"/>
    <w:rsid w:val="002F75A2"/>
    <w:rsid w:val="00301962"/>
    <w:rsid w:val="00305189"/>
    <w:rsid w:val="00306500"/>
    <w:rsid w:val="00306DF2"/>
    <w:rsid w:val="00313D14"/>
    <w:rsid w:val="00316C6F"/>
    <w:rsid w:val="003229A6"/>
    <w:rsid w:val="00322CA9"/>
    <w:rsid w:val="00334FC1"/>
    <w:rsid w:val="00336427"/>
    <w:rsid w:val="003469A2"/>
    <w:rsid w:val="0036045D"/>
    <w:rsid w:val="00360931"/>
    <w:rsid w:val="0036146B"/>
    <w:rsid w:val="00371B44"/>
    <w:rsid w:val="00371FD9"/>
    <w:rsid w:val="0037613B"/>
    <w:rsid w:val="00377847"/>
    <w:rsid w:val="00384218"/>
    <w:rsid w:val="00385DC7"/>
    <w:rsid w:val="00392239"/>
    <w:rsid w:val="003A2B19"/>
    <w:rsid w:val="003A325C"/>
    <w:rsid w:val="003A4374"/>
    <w:rsid w:val="003A512D"/>
    <w:rsid w:val="003B272F"/>
    <w:rsid w:val="003B4FD4"/>
    <w:rsid w:val="003B7769"/>
    <w:rsid w:val="003C470B"/>
    <w:rsid w:val="003C526A"/>
    <w:rsid w:val="003D4FEE"/>
    <w:rsid w:val="003D7FDF"/>
    <w:rsid w:val="003F1E33"/>
    <w:rsid w:val="0040412A"/>
    <w:rsid w:val="00412FC7"/>
    <w:rsid w:val="00413925"/>
    <w:rsid w:val="00416B0C"/>
    <w:rsid w:val="00436F75"/>
    <w:rsid w:val="00440AE1"/>
    <w:rsid w:val="004420B3"/>
    <w:rsid w:val="00444FE1"/>
    <w:rsid w:val="0044600F"/>
    <w:rsid w:val="00451A40"/>
    <w:rsid w:val="004550D9"/>
    <w:rsid w:val="00456072"/>
    <w:rsid w:val="0046324F"/>
    <w:rsid w:val="00467743"/>
    <w:rsid w:val="00467BC8"/>
    <w:rsid w:val="00476A44"/>
    <w:rsid w:val="00476B25"/>
    <w:rsid w:val="0047792A"/>
    <w:rsid w:val="00485B9B"/>
    <w:rsid w:val="004A197C"/>
    <w:rsid w:val="004A327B"/>
    <w:rsid w:val="004C5704"/>
    <w:rsid w:val="004D7C05"/>
    <w:rsid w:val="004E2AF3"/>
    <w:rsid w:val="004E6D9B"/>
    <w:rsid w:val="004F0637"/>
    <w:rsid w:val="004F2B3C"/>
    <w:rsid w:val="00506143"/>
    <w:rsid w:val="00507310"/>
    <w:rsid w:val="005232C1"/>
    <w:rsid w:val="00525BB2"/>
    <w:rsid w:val="0052765B"/>
    <w:rsid w:val="00533A52"/>
    <w:rsid w:val="00543603"/>
    <w:rsid w:val="00546BBD"/>
    <w:rsid w:val="00551744"/>
    <w:rsid w:val="00556A0D"/>
    <w:rsid w:val="00565554"/>
    <w:rsid w:val="005743CB"/>
    <w:rsid w:val="005761BF"/>
    <w:rsid w:val="00586F33"/>
    <w:rsid w:val="00592AE9"/>
    <w:rsid w:val="005A59C1"/>
    <w:rsid w:val="005A6D58"/>
    <w:rsid w:val="005A7E33"/>
    <w:rsid w:val="005B06F4"/>
    <w:rsid w:val="005B1FD9"/>
    <w:rsid w:val="005B24CB"/>
    <w:rsid w:val="005D371A"/>
    <w:rsid w:val="005D4E68"/>
    <w:rsid w:val="005D62F2"/>
    <w:rsid w:val="005D6EEF"/>
    <w:rsid w:val="005D78B8"/>
    <w:rsid w:val="005E0E42"/>
    <w:rsid w:val="005E3702"/>
    <w:rsid w:val="005E5421"/>
    <w:rsid w:val="005E6A0F"/>
    <w:rsid w:val="005E7EFD"/>
    <w:rsid w:val="00601E72"/>
    <w:rsid w:val="00601F0F"/>
    <w:rsid w:val="0060620B"/>
    <w:rsid w:val="00613CE5"/>
    <w:rsid w:val="00615002"/>
    <w:rsid w:val="0061617C"/>
    <w:rsid w:val="00621597"/>
    <w:rsid w:val="006226FD"/>
    <w:rsid w:val="00623AFC"/>
    <w:rsid w:val="006361F3"/>
    <w:rsid w:val="00637169"/>
    <w:rsid w:val="006422FC"/>
    <w:rsid w:val="00655B6E"/>
    <w:rsid w:val="00657D85"/>
    <w:rsid w:val="00664F36"/>
    <w:rsid w:val="00671C94"/>
    <w:rsid w:val="00673B2F"/>
    <w:rsid w:val="00673E18"/>
    <w:rsid w:val="006742B5"/>
    <w:rsid w:val="0067543A"/>
    <w:rsid w:val="00683EDA"/>
    <w:rsid w:val="0069320F"/>
    <w:rsid w:val="00695CAD"/>
    <w:rsid w:val="00696029"/>
    <w:rsid w:val="0069720A"/>
    <w:rsid w:val="006A216B"/>
    <w:rsid w:val="006A30B7"/>
    <w:rsid w:val="006A62B9"/>
    <w:rsid w:val="006B2067"/>
    <w:rsid w:val="006B3A33"/>
    <w:rsid w:val="006B56CF"/>
    <w:rsid w:val="006E47E4"/>
    <w:rsid w:val="006E6709"/>
    <w:rsid w:val="006F429F"/>
    <w:rsid w:val="006F561F"/>
    <w:rsid w:val="00710425"/>
    <w:rsid w:val="00710A76"/>
    <w:rsid w:val="00720F56"/>
    <w:rsid w:val="00723A42"/>
    <w:rsid w:val="00732D61"/>
    <w:rsid w:val="0073582E"/>
    <w:rsid w:val="0073685C"/>
    <w:rsid w:val="007412DD"/>
    <w:rsid w:val="0074608A"/>
    <w:rsid w:val="00760AF7"/>
    <w:rsid w:val="00761028"/>
    <w:rsid w:val="007647F9"/>
    <w:rsid w:val="00777AFF"/>
    <w:rsid w:val="00780473"/>
    <w:rsid w:val="00786B4A"/>
    <w:rsid w:val="00796B8B"/>
    <w:rsid w:val="007A10CE"/>
    <w:rsid w:val="007B481C"/>
    <w:rsid w:val="007B7707"/>
    <w:rsid w:val="007C0D3E"/>
    <w:rsid w:val="007C2417"/>
    <w:rsid w:val="007C691F"/>
    <w:rsid w:val="007C7243"/>
    <w:rsid w:val="007E05D0"/>
    <w:rsid w:val="007E1207"/>
    <w:rsid w:val="007F0FA3"/>
    <w:rsid w:val="007F6B50"/>
    <w:rsid w:val="00806CB9"/>
    <w:rsid w:val="00812707"/>
    <w:rsid w:val="00812CD2"/>
    <w:rsid w:val="0081564E"/>
    <w:rsid w:val="00815BA7"/>
    <w:rsid w:val="00820983"/>
    <w:rsid w:val="00821E9A"/>
    <w:rsid w:val="00826141"/>
    <w:rsid w:val="008305F8"/>
    <w:rsid w:val="008307DE"/>
    <w:rsid w:val="00833F8C"/>
    <w:rsid w:val="008351F0"/>
    <w:rsid w:val="0085062D"/>
    <w:rsid w:val="008510C6"/>
    <w:rsid w:val="0085383E"/>
    <w:rsid w:val="00853F64"/>
    <w:rsid w:val="00854FA9"/>
    <w:rsid w:val="008600BC"/>
    <w:rsid w:val="008614CE"/>
    <w:rsid w:val="00866B35"/>
    <w:rsid w:val="00872526"/>
    <w:rsid w:val="00873CB3"/>
    <w:rsid w:val="008751CE"/>
    <w:rsid w:val="008772D4"/>
    <w:rsid w:val="00880221"/>
    <w:rsid w:val="008814F9"/>
    <w:rsid w:val="00886CB2"/>
    <w:rsid w:val="0089168F"/>
    <w:rsid w:val="0089444C"/>
    <w:rsid w:val="008A424A"/>
    <w:rsid w:val="008A550A"/>
    <w:rsid w:val="008B172F"/>
    <w:rsid w:val="008B193D"/>
    <w:rsid w:val="008B6B30"/>
    <w:rsid w:val="008C2071"/>
    <w:rsid w:val="008C4807"/>
    <w:rsid w:val="008C6195"/>
    <w:rsid w:val="008D00B8"/>
    <w:rsid w:val="008D1790"/>
    <w:rsid w:val="008D2080"/>
    <w:rsid w:val="008D5C89"/>
    <w:rsid w:val="008E3FF1"/>
    <w:rsid w:val="008E5821"/>
    <w:rsid w:val="008E71A5"/>
    <w:rsid w:val="008F4F17"/>
    <w:rsid w:val="008F57ED"/>
    <w:rsid w:val="008F71A0"/>
    <w:rsid w:val="008F71BD"/>
    <w:rsid w:val="00905413"/>
    <w:rsid w:val="00911015"/>
    <w:rsid w:val="009162FC"/>
    <w:rsid w:val="00917C6F"/>
    <w:rsid w:val="00920F55"/>
    <w:rsid w:val="009241AF"/>
    <w:rsid w:val="00927721"/>
    <w:rsid w:val="009342CD"/>
    <w:rsid w:val="009375B5"/>
    <w:rsid w:val="00944312"/>
    <w:rsid w:val="0095049E"/>
    <w:rsid w:val="00957F6B"/>
    <w:rsid w:val="00963D61"/>
    <w:rsid w:val="009676D5"/>
    <w:rsid w:val="009728FE"/>
    <w:rsid w:val="00974819"/>
    <w:rsid w:val="0097483B"/>
    <w:rsid w:val="00984F77"/>
    <w:rsid w:val="009863EC"/>
    <w:rsid w:val="009A0664"/>
    <w:rsid w:val="009A2CD8"/>
    <w:rsid w:val="009A34D7"/>
    <w:rsid w:val="009A4A45"/>
    <w:rsid w:val="009B0641"/>
    <w:rsid w:val="009D09C0"/>
    <w:rsid w:val="009D2186"/>
    <w:rsid w:val="009D4DBD"/>
    <w:rsid w:val="009D4EA7"/>
    <w:rsid w:val="009D6F82"/>
    <w:rsid w:val="009F431C"/>
    <w:rsid w:val="009F69E3"/>
    <w:rsid w:val="00A01865"/>
    <w:rsid w:val="00A02BB9"/>
    <w:rsid w:val="00A06E9F"/>
    <w:rsid w:val="00A071D7"/>
    <w:rsid w:val="00A159C5"/>
    <w:rsid w:val="00A30D97"/>
    <w:rsid w:val="00A3740E"/>
    <w:rsid w:val="00A37506"/>
    <w:rsid w:val="00A4308F"/>
    <w:rsid w:val="00A44E5D"/>
    <w:rsid w:val="00A44EE4"/>
    <w:rsid w:val="00A56839"/>
    <w:rsid w:val="00A65AAA"/>
    <w:rsid w:val="00A73A63"/>
    <w:rsid w:val="00A85DEF"/>
    <w:rsid w:val="00A86A87"/>
    <w:rsid w:val="00A93A40"/>
    <w:rsid w:val="00A944D5"/>
    <w:rsid w:val="00AA194E"/>
    <w:rsid w:val="00AA3AB7"/>
    <w:rsid w:val="00AB6CAA"/>
    <w:rsid w:val="00AC00FA"/>
    <w:rsid w:val="00AC229B"/>
    <w:rsid w:val="00AC32DB"/>
    <w:rsid w:val="00AC66C4"/>
    <w:rsid w:val="00AD376B"/>
    <w:rsid w:val="00AD7EDF"/>
    <w:rsid w:val="00AE1959"/>
    <w:rsid w:val="00AE46C3"/>
    <w:rsid w:val="00AE4FF9"/>
    <w:rsid w:val="00AE6AE2"/>
    <w:rsid w:val="00AE7B0A"/>
    <w:rsid w:val="00AF4EDD"/>
    <w:rsid w:val="00AF7699"/>
    <w:rsid w:val="00B06977"/>
    <w:rsid w:val="00B11392"/>
    <w:rsid w:val="00B128EB"/>
    <w:rsid w:val="00B20EFD"/>
    <w:rsid w:val="00B21E2E"/>
    <w:rsid w:val="00B23550"/>
    <w:rsid w:val="00B23832"/>
    <w:rsid w:val="00B30622"/>
    <w:rsid w:val="00B31AEC"/>
    <w:rsid w:val="00B4277C"/>
    <w:rsid w:val="00B42DAC"/>
    <w:rsid w:val="00B43AFC"/>
    <w:rsid w:val="00B56295"/>
    <w:rsid w:val="00B5669C"/>
    <w:rsid w:val="00B5712B"/>
    <w:rsid w:val="00B57840"/>
    <w:rsid w:val="00B6586F"/>
    <w:rsid w:val="00B67E92"/>
    <w:rsid w:val="00B71548"/>
    <w:rsid w:val="00B752D2"/>
    <w:rsid w:val="00B81339"/>
    <w:rsid w:val="00B82110"/>
    <w:rsid w:val="00B8425D"/>
    <w:rsid w:val="00BA5661"/>
    <w:rsid w:val="00BA5AF2"/>
    <w:rsid w:val="00BB3C33"/>
    <w:rsid w:val="00BB43B4"/>
    <w:rsid w:val="00BB523A"/>
    <w:rsid w:val="00BD301A"/>
    <w:rsid w:val="00BD5D3B"/>
    <w:rsid w:val="00BD7BCC"/>
    <w:rsid w:val="00BF3812"/>
    <w:rsid w:val="00BF4912"/>
    <w:rsid w:val="00C06E6B"/>
    <w:rsid w:val="00C11236"/>
    <w:rsid w:val="00C155DD"/>
    <w:rsid w:val="00C178F2"/>
    <w:rsid w:val="00C17A52"/>
    <w:rsid w:val="00C17D8A"/>
    <w:rsid w:val="00C20ABD"/>
    <w:rsid w:val="00C32896"/>
    <w:rsid w:val="00C33B6A"/>
    <w:rsid w:val="00C374F6"/>
    <w:rsid w:val="00C37510"/>
    <w:rsid w:val="00C413EB"/>
    <w:rsid w:val="00C42A6E"/>
    <w:rsid w:val="00C4324D"/>
    <w:rsid w:val="00C45749"/>
    <w:rsid w:val="00C4718E"/>
    <w:rsid w:val="00C51AFC"/>
    <w:rsid w:val="00C53CC9"/>
    <w:rsid w:val="00C56D0D"/>
    <w:rsid w:val="00C64209"/>
    <w:rsid w:val="00C66FFF"/>
    <w:rsid w:val="00C7689C"/>
    <w:rsid w:val="00C93551"/>
    <w:rsid w:val="00C96A90"/>
    <w:rsid w:val="00C9732A"/>
    <w:rsid w:val="00CA3BD9"/>
    <w:rsid w:val="00CB6E8B"/>
    <w:rsid w:val="00CB768F"/>
    <w:rsid w:val="00CC1612"/>
    <w:rsid w:val="00CC5522"/>
    <w:rsid w:val="00CD0D74"/>
    <w:rsid w:val="00CD7681"/>
    <w:rsid w:val="00CE19F5"/>
    <w:rsid w:val="00CE47A7"/>
    <w:rsid w:val="00CE5AFE"/>
    <w:rsid w:val="00CE6FCD"/>
    <w:rsid w:val="00CE79A5"/>
    <w:rsid w:val="00CF04C9"/>
    <w:rsid w:val="00CF13B9"/>
    <w:rsid w:val="00CF2B14"/>
    <w:rsid w:val="00CF651B"/>
    <w:rsid w:val="00D05394"/>
    <w:rsid w:val="00D06228"/>
    <w:rsid w:val="00D06ACC"/>
    <w:rsid w:val="00D200CA"/>
    <w:rsid w:val="00D21291"/>
    <w:rsid w:val="00D23B33"/>
    <w:rsid w:val="00D24E79"/>
    <w:rsid w:val="00D316B0"/>
    <w:rsid w:val="00D3251C"/>
    <w:rsid w:val="00D34330"/>
    <w:rsid w:val="00D36015"/>
    <w:rsid w:val="00D43DA2"/>
    <w:rsid w:val="00D4519F"/>
    <w:rsid w:val="00D47F96"/>
    <w:rsid w:val="00D56DAC"/>
    <w:rsid w:val="00D600BA"/>
    <w:rsid w:val="00D601BB"/>
    <w:rsid w:val="00D664EF"/>
    <w:rsid w:val="00D83BF8"/>
    <w:rsid w:val="00D91A2C"/>
    <w:rsid w:val="00D91CE3"/>
    <w:rsid w:val="00D93303"/>
    <w:rsid w:val="00DB5402"/>
    <w:rsid w:val="00DB736A"/>
    <w:rsid w:val="00DC154E"/>
    <w:rsid w:val="00DC3CC0"/>
    <w:rsid w:val="00DC3EFB"/>
    <w:rsid w:val="00DC4F92"/>
    <w:rsid w:val="00DC76DC"/>
    <w:rsid w:val="00DD0E2F"/>
    <w:rsid w:val="00DD1CE3"/>
    <w:rsid w:val="00DD5A4F"/>
    <w:rsid w:val="00DE049C"/>
    <w:rsid w:val="00DF0008"/>
    <w:rsid w:val="00DF35DB"/>
    <w:rsid w:val="00E04135"/>
    <w:rsid w:val="00E05D52"/>
    <w:rsid w:val="00E10476"/>
    <w:rsid w:val="00E12046"/>
    <w:rsid w:val="00E167D1"/>
    <w:rsid w:val="00E20802"/>
    <w:rsid w:val="00E21507"/>
    <w:rsid w:val="00E25006"/>
    <w:rsid w:val="00E31D66"/>
    <w:rsid w:val="00E32335"/>
    <w:rsid w:val="00E33BC9"/>
    <w:rsid w:val="00E344F6"/>
    <w:rsid w:val="00E43F0F"/>
    <w:rsid w:val="00E46188"/>
    <w:rsid w:val="00E47130"/>
    <w:rsid w:val="00E52F60"/>
    <w:rsid w:val="00E60708"/>
    <w:rsid w:val="00E6088E"/>
    <w:rsid w:val="00E775FA"/>
    <w:rsid w:val="00E7773C"/>
    <w:rsid w:val="00E77EDF"/>
    <w:rsid w:val="00E81BBC"/>
    <w:rsid w:val="00E908F7"/>
    <w:rsid w:val="00E937FF"/>
    <w:rsid w:val="00E949F4"/>
    <w:rsid w:val="00E95B14"/>
    <w:rsid w:val="00E95CB7"/>
    <w:rsid w:val="00EA0AEF"/>
    <w:rsid w:val="00EA1DAF"/>
    <w:rsid w:val="00EB3316"/>
    <w:rsid w:val="00EB3343"/>
    <w:rsid w:val="00EB5393"/>
    <w:rsid w:val="00EB66D1"/>
    <w:rsid w:val="00EC765C"/>
    <w:rsid w:val="00ED5F09"/>
    <w:rsid w:val="00ED7861"/>
    <w:rsid w:val="00EE59D1"/>
    <w:rsid w:val="00EF58BA"/>
    <w:rsid w:val="00EF74A9"/>
    <w:rsid w:val="00F003E5"/>
    <w:rsid w:val="00F00B24"/>
    <w:rsid w:val="00F06CB6"/>
    <w:rsid w:val="00F11593"/>
    <w:rsid w:val="00F1244B"/>
    <w:rsid w:val="00F1321F"/>
    <w:rsid w:val="00F1490F"/>
    <w:rsid w:val="00F27393"/>
    <w:rsid w:val="00F37D85"/>
    <w:rsid w:val="00F40E1C"/>
    <w:rsid w:val="00F4476A"/>
    <w:rsid w:val="00F56633"/>
    <w:rsid w:val="00F57E60"/>
    <w:rsid w:val="00F62B94"/>
    <w:rsid w:val="00F63744"/>
    <w:rsid w:val="00F6634A"/>
    <w:rsid w:val="00F67BE4"/>
    <w:rsid w:val="00F704A3"/>
    <w:rsid w:val="00F765D7"/>
    <w:rsid w:val="00F82605"/>
    <w:rsid w:val="00F90443"/>
    <w:rsid w:val="00F95F34"/>
    <w:rsid w:val="00FA371B"/>
    <w:rsid w:val="00FA3FB9"/>
    <w:rsid w:val="00FA4668"/>
    <w:rsid w:val="00FA49C1"/>
    <w:rsid w:val="00FA5A45"/>
    <w:rsid w:val="00FB07A4"/>
    <w:rsid w:val="00FB2376"/>
    <w:rsid w:val="00FB30E6"/>
    <w:rsid w:val="00FB33B5"/>
    <w:rsid w:val="00FC2E9B"/>
    <w:rsid w:val="00FC2F7C"/>
    <w:rsid w:val="00FC2FAE"/>
    <w:rsid w:val="00FC5154"/>
    <w:rsid w:val="00FD402A"/>
    <w:rsid w:val="00FD5716"/>
    <w:rsid w:val="00FD612B"/>
    <w:rsid w:val="00FE1106"/>
    <w:rsid w:val="00FE3EB2"/>
    <w:rsid w:val="00FE7128"/>
    <w:rsid w:val="00FF0530"/>
    <w:rsid w:val="00FF128B"/>
    <w:rsid w:val="00FF1C79"/>
    <w:rsid w:val="00FF2A60"/>
    <w:rsid w:val="00FF3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A0A7F"/>
  <w15:docId w15:val="{9D614C35-42DF-4B23-BE2C-2AA0CE8B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C2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41">
    <w:name w:val="Tableau simple 41"/>
    <w:basedOn w:val="TableauNormal"/>
    <w:uiPriority w:val="44"/>
    <w:rsid w:val="00C37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3"/>
    <w:rsid w:val="00C37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tedebasdepage">
    <w:name w:val="footnote text"/>
    <w:basedOn w:val="Normal"/>
    <w:link w:val="NotedebasdepageCar"/>
    <w:uiPriority w:val="99"/>
    <w:unhideWhenUsed/>
    <w:rsid w:val="00305189"/>
    <w:pPr>
      <w:spacing w:after="0" w:line="240" w:lineRule="auto"/>
    </w:pPr>
    <w:rPr>
      <w:sz w:val="20"/>
      <w:szCs w:val="20"/>
    </w:rPr>
  </w:style>
  <w:style w:type="character" w:customStyle="1" w:styleId="NotedebasdepageCar">
    <w:name w:val="Note de bas de page Car"/>
    <w:basedOn w:val="Policepardfaut"/>
    <w:link w:val="Notedebasdepage"/>
    <w:uiPriority w:val="99"/>
    <w:rsid w:val="00305189"/>
    <w:rPr>
      <w:sz w:val="20"/>
      <w:szCs w:val="20"/>
    </w:rPr>
  </w:style>
  <w:style w:type="character" w:styleId="Appelnotedebasdep">
    <w:name w:val="footnote reference"/>
    <w:basedOn w:val="Policepardfaut"/>
    <w:uiPriority w:val="99"/>
    <w:semiHidden/>
    <w:unhideWhenUsed/>
    <w:rsid w:val="00305189"/>
    <w:rPr>
      <w:vertAlign w:val="superscript"/>
    </w:rPr>
  </w:style>
  <w:style w:type="paragraph" w:styleId="En-tte">
    <w:name w:val="header"/>
    <w:basedOn w:val="Normal"/>
    <w:link w:val="En-tteCar"/>
    <w:uiPriority w:val="99"/>
    <w:unhideWhenUsed/>
    <w:rsid w:val="00592AE9"/>
    <w:pPr>
      <w:tabs>
        <w:tab w:val="center" w:pos="4513"/>
        <w:tab w:val="right" w:pos="9026"/>
      </w:tabs>
      <w:spacing w:after="0" w:line="240" w:lineRule="auto"/>
    </w:pPr>
  </w:style>
  <w:style w:type="character" w:customStyle="1" w:styleId="En-tteCar">
    <w:name w:val="En-tête Car"/>
    <w:basedOn w:val="Policepardfaut"/>
    <w:link w:val="En-tte"/>
    <w:uiPriority w:val="99"/>
    <w:rsid w:val="00592AE9"/>
  </w:style>
  <w:style w:type="paragraph" w:styleId="Pieddepage">
    <w:name w:val="footer"/>
    <w:basedOn w:val="Normal"/>
    <w:link w:val="PieddepageCar"/>
    <w:uiPriority w:val="99"/>
    <w:unhideWhenUsed/>
    <w:rsid w:val="00592AE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592AE9"/>
  </w:style>
  <w:style w:type="character" w:styleId="Lienhypertexte">
    <w:name w:val="Hyperlink"/>
    <w:basedOn w:val="Policepardfaut"/>
    <w:uiPriority w:val="99"/>
    <w:unhideWhenUsed/>
    <w:rsid w:val="00E46188"/>
    <w:rPr>
      <w:color w:val="0563C1" w:themeColor="hyperlink"/>
      <w:u w:val="single"/>
    </w:rPr>
  </w:style>
  <w:style w:type="paragraph" w:styleId="Paragraphedeliste">
    <w:name w:val="List Paragraph"/>
    <w:basedOn w:val="Normal"/>
    <w:uiPriority w:val="34"/>
    <w:qFormat/>
    <w:rsid w:val="008E71A5"/>
    <w:pPr>
      <w:ind w:left="720"/>
      <w:contextualSpacing/>
    </w:pPr>
  </w:style>
  <w:style w:type="paragraph" w:styleId="Textedebulles">
    <w:name w:val="Balloon Text"/>
    <w:basedOn w:val="Normal"/>
    <w:link w:val="TextedebullesCar"/>
    <w:uiPriority w:val="99"/>
    <w:semiHidden/>
    <w:unhideWhenUsed/>
    <w:rsid w:val="00B069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6977"/>
    <w:rPr>
      <w:rFonts w:ascii="Segoe UI" w:hAnsi="Segoe UI" w:cs="Segoe UI"/>
      <w:sz w:val="18"/>
      <w:szCs w:val="18"/>
    </w:rPr>
  </w:style>
  <w:style w:type="character" w:styleId="Lienhypertextesuivivisit">
    <w:name w:val="FollowedHyperlink"/>
    <w:basedOn w:val="Policepardfaut"/>
    <w:uiPriority w:val="99"/>
    <w:semiHidden/>
    <w:unhideWhenUsed/>
    <w:rsid w:val="00AC229B"/>
    <w:rPr>
      <w:color w:val="954F72" w:themeColor="followedHyperlink"/>
      <w:u w:val="single"/>
    </w:rPr>
  </w:style>
  <w:style w:type="character" w:styleId="Marquedecommentaire">
    <w:name w:val="annotation reference"/>
    <w:basedOn w:val="Policepardfaut"/>
    <w:uiPriority w:val="99"/>
    <w:semiHidden/>
    <w:unhideWhenUsed/>
    <w:rsid w:val="00220A19"/>
    <w:rPr>
      <w:sz w:val="16"/>
      <w:szCs w:val="16"/>
    </w:rPr>
  </w:style>
  <w:style w:type="paragraph" w:styleId="Commentaire">
    <w:name w:val="annotation text"/>
    <w:basedOn w:val="Normal"/>
    <w:link w:val="CommentaireCar"/>
    <w:uiPriority w:val="99"/>
    <w:unhideWhenUsed/>
    <w:rsid w:val="00220A19"/>
    <w:pPr>
      <w:spacing w:line="240" w:lineRule="auto"/>
    </w:pPr>
    <w:rPr>
      <w:sz w:val="20"/>
      <w:szCs w:val="20"/>
    </w:rPr>
  </w:style>
  <w:style w:type="character" w:customStyle="1" w:styleId="CommentaireCar">
    <w:name w:val="Commentaire Car"/>
    <w:basedOn w:val="Policepardfaut"/>
    <w:link w:val="Commentaire"/>
    <w:uiPriority w:val="99"/>
    <w:rsid w:val="00220A19"/>
    <w:rPr>
      <w:sz w:val="20"/>
      <w:szCs w:val="20"/>
    </w:rPr>
  </w:style>
  <w:style w:type="paragraph" w:styleId="Objetducommentaire">
    <w:name w:val="annotation subject"/>
    <w:basedOn w:val="Commentaire"/>
    <w:next w:val="Commentaire"/>
    <w:link w:val="ObjetducommentaireCar"/>
    <w:uiPriority w:val="99"/>
    <w:semiHidden/>
    <w:unhideWhenUsed/>
    <w:rsid w:val="00220A19"/>
    <w:rPr>
      <w:b/>
      <w:bCs/>
    </w:rPr>
  </w:style>
  <w:style w:type="character" w:customStyle="1" w:styleId="ObjetducommentaireCar">
    <w:name w:val="Objet du commentaire Car"/>
    <w:basedOn w:val="CommentaireCar"/>
    <w:link w:val="Objetducommentaire"/>
    <w:uiPriority w:val="99"/>
    <w:semiHidden/>
    <w:rsid w:val="00220A19"/>
    <w:rPr>
      <w:b/>
      <w:bCs/>
      <w:sz w:val="20"/>
      <w:szCs w:val="20"/>
    </w:rPr>
  </w:style>
  <w:style w:type="paragraph" w:styleId="Rvision">
    <w:name w:val="Revision"/>
    <w:hidden/>
    <w:uiPriority w:val="99"/>
    <w:semiHidden/>
    <w:rsid w:val="00CF04C9"/>
    <w:pPr>
      <w:spacing w:after="0" w:line="240" w:lineRule="auto"/>
    </w:pPr>
  </w:style>
  <w:style w:type="paragraph" w:styleId="NormalWeb">
    <w:name w:val="Normal (Web)"/>
    <w:basedOn w:val="Normal"/>
    <w:uiPriority w:val="99"/>
    <w:unhideWhenUsed/>
    <w:rsid w:val="00623AFC"/>
    <w:pPr>
      <w:spacing w:before="100" w:beforeAutospacing="1" w:after="100" w:afterAutospacing="1" w:line="240" w:lineRule="auto"/>
    </w:pPr>
    <w:rPr>
      <w:rFonts w:eastAsia="Times New Roman" w:cs="Times New Roman"/>
      <w:szCs w:val="24"/>
      <w:lang w:val="fr-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358368">
      <w:bodyDiv w:val="1"/>
      <w:marLeft w:val="0"/>
      <w:marRight w:val="0"/>
      <w:marTop w:val="0"/>
      <w:marBottom w:val="0"/>
      <w:divBdr>
        <w:top w:val="none" w:sz="0" w:space="0" w:color="auto"/>
        <w:left w:val="none" w:sz="0" w:space="0" w:color="auto"/>
        <w:bottom w:val="none" w:sz="0" w:space="0" w:color="auto"/>
        <w:right w:val="none" w:sz="0" w:space="0" w:color="auto"/>
      </w:divBdr>
      <w:divsChild>
        <w:div w:id="263537880">
          <w:marLeft w:val="0"/>
          <w:marRight w:val="0"/>
          <w:marTop w:val="0"/>
          <w:marBottom w:val="0"/>
          <w:divBdr>
            <w:top w:val="none" w:sz="0" w:space="0" w:color="auto"/>
            <w:left w:val="none" w:sz="0" w:space="0" w:color="auto"/>
            <w:bottom w:val="none" w:sz="0" w:space="0" w:color="auto"/>
            <w:right w:val="none" w:sz="0" w:space="0" w:color="auto"/>
          </w:divBdr>
          <w:divsChild>
            <w:div w:id="1461461785">
              <w:marLeft w:val="0"/>
              <w:marRight w:val="0"/>
              <w:marTop w:val="0"/>
              <w:marBottom w:val="0"/>
              <w:divBdr>
                <w:top w:val="none" w:sz="0" w:space="0" w:color="auto"/>
                <w:left w:val="none" w:sz="0" w:space="0" w:color="auto"/>
                <w:bottom w:val="none" w:sz="0" w:space="0" w:color="auto"/>
                <w:right w:val="none" w:sz="0" w:space="0" w:color="auto"/>
              </w:divBdr>
              <w:divsChild>
                <w:div w:id="2081705985">
                  <w:marLeft w:val="0"/>
                  <w:marRight w:val="0"/>
                  <w:marTop w:val="0"/>
                  <w:marBottom w:val="0"/>
                  <w:divBdr>
                    <w:top w:val="none" w:sz="0" w:space="0" w:color="auto"/>
                    <w:left w:val="none" w:sz="0" w:space="0" w:color="auto"/>
                    <w:bottom w:val="none" w:sz="0" w:space="0" w:color="auto"/>
                    <w:right w:val="none" w:sz="0" w:space="0" w:color="auto"/>
                  </w:divBdr>
                  <w:divsChild>
                    <w:div w:id="2485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738453">
      <w:bodyDiv w:val="1"/>
      <w:marLeft w:val="0"/>
      <w:marRight w:val="0"/>
      <w:marTop w:val="0"/>
      <w:marBottom w:val="0"/>
      <w:divBdr>
        <w:top w:val="none" w:sz="0" w:space="0" w:color="auto"/>
        <w:left w:val="none" w:sz="0" w:space="0" w:color="auto"/>
        <w:bottom w:val="none" w:sz="0" w:space="0" w:color="auto"/>
        <w:right w:val="none" w:sz="0" w:space="0" w:color="auto"/>
      </w:divBdr>
    </w:div>
    <w:div w:id="1341203488">
      <w:bodyDiv w:val="1"/>
      <w:marLeft w:val="0"/>
      <w:marRight w:val="0"/>
      <w:marTop w:val="0"/>
      <w:marBottom w:val="0"/>
      <w:divBdr>
        <w:top w:val="none" w:sz="0" w:space="0" w:color="auto"/>
        <w:left w:val="none" w:sz="0" w:space="0" w:color="auto"/>
        <w:bottom w:val="none" w:sz="0" w:space="0" w:color="auto"/>
        <w:right w:val="none" w:sz="0" w:space="0" w:color="auto"/>
      </w:divBdr>
      <w:divsChild>
        <w:div w:id="1903366401">
          <w:marLeft w:val="0"/>
          <w:marRight w:val="0"/>
          <w:marTop w:val="0"/>
          <w:marBottom w:val="0"/>
          <w:divBdr>
            <w:top w:val="none" w:sz="0" w:space="0" w:color="auto"/>
            <w:left w:val="none" w:sz="0" w:space="0" w:color="auto"/>
            <w:bottom w:val="none" w:sz="0" w:space="0" w:color="auto"/>
            <w:right w:val="none" w:sz="0" w:space="0" w:color="auto"/>
          </w:divBdr>
          <w:divsChild>
            <w:div w:id="1779711844">
              <w:marLeft w:val="0"/>
              <w:marRight w:val="0"/>
              <w:marTop w:val="0"/>
              <w:marBottom w:val="0"/>
              <w:divBdr>
                <w:top w:val="none" w:sz="0" w:space="0" w:color="auto"/>
                <w:left w:val="none" w:sz="0" w:space="0" w:color="auto"/>
                <w:bottom w:val="none" w:sz="0" w:space="0" w:color="auto"/>
                <w:right w:val="none" w:sz="0" w:space="0" w:color="auto"/>
              </w:divBdr>
              <w:divsChild>
                <w:div w:id="38214814">
                  <w:marLeft w:val="0"/>
                  <w:marRight w:val="0"/>
                  <w:marTop w:val="0"/>
                  <w:marBottom w:val="0"/>
                  <w:divBdr>
                    <w:top w:val="none" w:sz="0" w:space="0" w:color="auto"/>
                    <w:left w:val="none" w:sz="0" w:space="0" w:color="auto"/>
                    <w:bottom w:val="none" w:sz="0" w:space="0" w:color="auto"/>
                    <w:right w:val="none" w:sz="0" w:space="0" w:color="auto"/>
                  </w:divBdr>
                  <w:divsChild>
                    <w:div w:id="13097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onomie.fgov.be/sites/default/files/Files/About-SPF/avis-cob-cca/Avis-13-Commission-Clauses-Abusives.pdf" TargetMode="External"/><Relationship Id="rId1" Type="http://schemas.openxmlformats.org/officeDocument/2006/relationships/hyperlink" Target="https://economie.fgov.be/sites/default/files/Files/About-SPF/avis-cob-cca/Avis-13-Commission-Clauses-Abusiv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6498D-6AE8-6749-B27A-01120985B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47</Pages>
  <Words>9358</Words>
  <Characters>51473</Characters>
  <Application>Microsoft Office Word</Application>
  <DocSecurity>0</DocSecurity>
  <Lines>428</Lines>
  <Paragraphs>121</Paragraphs>
  <ScaleCrop>false</ScaleCrop>
  <HeadingPairs>
    <vt:vector size="2" baseType="variant">
      <vt:variant>
        <vt:lpstr>Titre</vt:lpstr>
      </vt:variant>
      <vt:variant>
        <vt:i4>1</vt:i4>
      </vt:variant>
    </vt:vector>
  </HeadingPairs>
  <TitlesOfParts>
    <vt:vector size="1" baseType="lpstr">
      <vt:lpstr/>
    </vt:vector>
  </TitlesOfParts>
  <Company>FEDNOT</Company>
  <LinksUpToDate>false</LinksUpToDate>
  <CharactersWithSpaces>60710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van Zuylen</dc:creator>
  <cp:lastModifiedBy>Jean van Zuylen</cp:lastModifiedBy>
  <cp:revision>16</cp:revision>
  <cp:lastPrinted>2020-03-13T13:16:00Z</cp:lastPrinted>
  <dcterms:created xsi:type="dcterms:W3CDTF">2020-05-14T12:40:00Z</dcterms:created>
  <dcterms:modified xsi:type="dcterms:W3CDTF">2020-05-31T09:47:00Z</dcterms:modified>
</cp:coreProperties>
</file>