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23B3" w14:textId="77777777" w:rsidR="009B3C64" w:rsidRPr="000D6202" w:rsidRDefault="009B3C64" w:rsidP="009B3C64">
      <w:pPr>
        <w:pStyle w:val="Heading1"/>
        <w:jc w:val="center"/>
        <w:rPr>
          <w:rFonts w:ascii="Times New Roman" w:hAnsi="Times New Roman"/>
          <w:sz w:val="24"/>
          <w:szCs w:val="24"/>
          <w:lang w:val="en-GB"/>
        </w:rPr>
      </w:pPr>
      <w:r w:rsidRPr="000D6202">
        <w:rPr>
          <w:rFonts w:ascii="Times New Roman" w:hAnsi="Times New Roman"/>
          <w:sz w:val="24"/>
          <w:szCs w:val="24"/>
          <w:lang w:val="en-GB"/>
        </w:rPr>
        <w:t>Review article for French Politics</w:t>
      </w:r>
    </w:p>
    <w:p w14:paraId="54CF62AB" w14:textId="77777777" w:rsidR="009B3C64" w:rsidRPr="000D6202" w:rsidRDefault="009B3C64" w:rsidP="009B3C64">
      <w:pPr>
        <w:rPr>
          <w:rFonts w:ascii="Times New Roman" w:hAnsi="Times New Roman"/>
          <w:sz w:val="24"/>
          <w:szCs w:val="24"/>
          <w:lang w:val="en-GB"/>
        </w:rPr>
      </w:pPr>
    </w:p>
    <w:p w14:paraId="33090F64" w14:textId="77777777" w:rsidR="009B3C64" w:rsidRPr="000D6202" w:rsidRDefault="009B3C64" w:rsidP="009B3C64">
      <w:pPr>
        <w:spacing w:after="0" w:line="240" w:lineRule="auto"/>
        <w:jc w:val="center"/>
        <w:rPr>
          <w:rFonts w:ascii="Times New Roman" w:hAnsi="Times New Roman"/>
          <w:sz w:val="24"/>
          <w:szCs w:val="24"/>
          <w:lang w:val="en-GB"/>
        </w:rPr>
      </w:pPr>
      <w:r w:rsidRPr="000D6202">
        <w:rPr>
          <w:rFonts w:ascii="Times New Roman" w:hAnsi="Times New Roman"/>
          <w:sz w:val="24"/>
          <w:szCs w:val="24"/>
          <w:lang w:val="en-GB"/>
        </w:rPr>
        <w:t>Authors:</w:t>
      </w:r>
    </w:p>
    <w:p w14:paraId="7DA03DED" w14:textId="77777777" w:rsidR="009B3C64" w:rsidRPr="000D6202" w:rsidRDefault="009B3C64" w:rsidP="009B3C64">
      <w:pPr>
        <w:spacing w:after="0" w:line="240" w:lineRule="auto"/>
        <w:jc w:val="center"/>
        <w:rPr>
          <w:rFonts w:ascii="Times New Roman" w:hAnsi="Times New Roman"/>
          <w:sz w:val="24"/>
          <w:szCs w:val="24"/>
          <w:lang w:val="en-GB"/>
        </w:rPr>
      </w:pPr>
    </w:p>
    <w:p w14:paraId="07749BB2" w14:textId="56234926" w:rsidR="009B3C64" w:rsidRPr="000D6202" w:rsidRDefault="009B3C64" w:rsidP="009B3C64">
      <w:pPr>
        <w:spacing w:after="0" w:line="240" w:lineRule="auto"/>
        <w:jc w:val="center"/>
        <w:rPr>
          <w:rFonts w:ascii="Times New Roman" w:hAnsi="Times New Roman"/>
          <w:sz w:val="24"/>
          <w:szCs w:val="24"/>
          <w:lang w:val="en-GB"/>
        </w:rPr>
      </w:pPr>
      <w:r w:rsidRPr="000D6202">
        <w:rPr>
          <w:rFonts w:ascii="Times New Roman" w:hAnsi="Times New Roman"/>
          <w:sz w:val="24"/>
          <w:szCs w:val="24"/>
          <w:lang w:val="en-GB"/>
        </w:rPr>
        <w:t>Clement Fontan, Post-doc Researcher, University of Göteborg</w:t>
      </w:r>
      <w:r w:rsidR="000D6202">
        <w:rPr>
          <w:rStyle w:val="FootnoteReference"/>
          <w:rFonts w:ascii="Times New Roman" w:hAnsi="Times New Roman"/>
          <w:sz w:val="24"/>
          <w:szCs w:val="24"/>
          <w:lang w:val="en-GB"/>
        </w:rPr>
        <w:footnoteReference w:id="1"/>
      </w:r>
    </w:p>
    <w:p w14:paraId="1F85B30A" w14:textId="77777777" w:rsidR="009B3C64" w:rsidRPr="000D6202" w:rsidRDefault="009B3C64" w:rsidP="009B3C64">
      <w:pPr>
        <w:spacing w:after="0" w:line="240" w:lineRule="auto"/>
        <w:jc w:val="center"/>
        <w:rPr>
          <w:rFonts w:ascii="Times New Roman" w:hAnsi="Times New Roman"/>
          <w:sz w:val="24"/>
          <w:szCs w:val="24"/>
          <w:lang w:val="en-GB"/>
        </w:rPr>
      </w:pPr>
      <w:r w:rsidRPr="000D6202">
        <w:rPr>
          <w:rFonts w:ascii="Times New Roman" w:hAnsi="Times New Roman"/>
          <w:sz w:val="24"/>
          <w:szCs w:val="24"/>
          <w:lang w:val="en-GB"/>
        </w:rPr>
        <w:t>Emmanuel Carré, Associate Professor, Université de Bretagne Sud</w:t>
      </w:r>
    </w:p>
    <w:p w14:paraId="67324306" w14:textId="77777777" w:rsidR="009B3C64" w:rsidRPr="000D6202" w:rsidRDefault="009B3C64" w:rsidP="009B3C64">
      <w:pPr>
        <w:spacing w:after="0" w:line="240" w:lineRule="auto"/>
        <w:jc w:val="center"/>
        <w:rPr>
          <w:rFonts w:ascii="Times New Roman" w:hAnsi="Times New Roman"/>
          <w:sz w:val="24"/>
          <w:szCs w:val="24"/>
          <w:lang w:val="en-GB"/>
        </w:rPr>
      </w:pPr>
      <w:r w:rsidRPr="000D6202">
        <w:rPr>
          <w:rFonts w:ascii="Times New Roman" w:hAnsi="Times New Roman"/>
          <w:sz w:val="24"/>
          <w:szCs w:val="24"/>
          <w:lang w:val="en-GB"/>
        </w:rPr>
        <w:t>Guillaume L'Oeillet, Associate Professor, Université de Rennes 1</w:t>
      </w:r>
    </w:p>
    <w:p w14:paraId="0E422675" w14:textId="77777777" w:rsidR="009B3C64" w:rsidRPr="000D6202" w:rsidRDefault="009B3C64" w:rsidP="009B3C64">
      <w:pPr>
        <w:spacing w:after="0" w:line="240" w:lineRule="auto"/>
        <w:jc w:val="center"/>
        <w:rPr>
          <w:rFonts w:ascii="Times New Roman" w:hAnsi="Times New Roman"/>
          <w:sz w:val="24"/>
          <w:szCs w:val="24"/>
          <w:lang w:val="en-GB"/>
        </w:rPr>
      </w:pPr>
    </w:p>
    <w:p w14:paraId="1ACA11DA" w14:textId="60F0FEE6" w:rsidR="009B3C64" w:rsidRPr="000D6202" w:rsidRDefault="009B3C64" w:rsidP="009B3C64">
      <w:pPr>
        <w:spacing w:after="0" w:line="240" w:lineRule="auto"/>
        <w:jc w:val="center"/>
        <w:rPr>
          <w:rFonts w:ascii="Times New Roman" w:hAnsi="Times New Roman"/>
          <w:sz w:val="24"/>
          <w:szCs w:val="24"/>
          <w:lang w:val="en-GB"/>
        </w:rPr>
      </w:pPr>
      <w:r w:rsidRPr="000D6202">
        <w:rPr>
          <w:rFonts w:ascii="Times New Roman" w:hAnsi="Times New Roman"/>
          <w:sz w:val="24"/>
          <w:szCs w:val="24"/>
          <w:lang w:val="en-GB"/>
        </w:rPr>
        <w:t>Size of the text : 8</w:t>
      </w:r>
      <w:r w:rsidR="00086458" w:rsidRPr="000D6202">
        <w:rPr>
          <w:rFonts w:ascii="Times New Roman" w:hAnsi="Times New Roman"/>
          <w:sz w:val="24"/>
          <w:szCs w:val="24"/>
          <w:lang w:val="en-GB"/>
        </w:rPr>
        <w:t>,</w:t>
      </w:r>
      <w:r w:rsidR="000D6202" w:rsidRPr="000D6202">
        <w:rPr>
          <w:rFonts w:ascii="Times New Roman" w:hAnsi="Times New Roman"/>
          <w:sz w:val="24"/>
          <w:szCs w:val="24"/>
          <w:lang w:val="en-GB"/>
        </w:rPr>
        <w:t>723</w:t>
      </w:r>
      <w:r w:rsidRPr="000D6202">
        <w:rPr>
          <w:rFonts w:ascii="Times New Roman" w:hAnsi="Times New Roman"/>
          <w:sz w:val="24"/>
          <w:szCs w:val="24"/>
          <w:lang w:val="en-GB"/>
        </w:rPr>
        <w:t>words</w:t>
      </w:r>
    </w:p>
    <w:p w14:paraId="551B8646" w14:textId="77777777" w:rsidR="009B3C64" w:rsidRPr="000D6202" w:rsidRDefault="009B3C64" w:rsidP="009B3C64">
      <w:pPr>
        <w:pStyle w:val="Heading1"/>
        <w:jc w:val="center"/>
        <w:rPr>
          <w:rFonts w:ascii="Times New Roman" w:hAnsi="Times New Roman"/>
          <w:sz w:val="24"/>
          <w:szCs w:val="24"/>
          <w:lang w:val="en-GB"/>
        </w:rPr>
      </w:pPr>
      <w:r w:rsidRPr="000D6202">
        <w:rPr>
          <w:rFonts w:ascii="Times New Roman" w:hAnsi="Times New Roman"/>
          <w:sz w:val="24"/>
          <w:szCs w:val="24"/>
          <w:lang w:val="en-GB"/>
        </w:rPr>
        <w:t>Theoretical perspectives on the new era of central banking.</w:t>
      </w:r>
    </w:p>
    <w:p w14:paraId="1BFB2078" w14:textId="77777777" w:rsidR="009B3C64" w:rsidRPr="000D6202" w:rsidRDefault="009B3C64" w:rsidP="009B3C64">
      <w:pPr>
        <w:rPr>
          <w:lang w:val="en-GB"/>
        </w:rPr>
      </w:pPr>
      <w:r w:rsidRPr="000D6202">
        <w:rPr>
          <w:lang w:val="en-GB"/>
        </w:rPr>
        <w:t>Abstract</w:t>
      </w:r>
    </w:p>
    <w:p w14:paraId="0C196ACC" w14:textId="0CD839DC" w:rsidR="009B3C64" w:rsidRPr="000D6202" w:rsidRDefault="009B3C64" w:rsidP="009B3C64">
      <w:pPr>
        <w:rPr>
          <w:lang w:val="en-GB"/>
        </w:rPr>
      </w:pPr>
      <w:r w:rsidRPr="000D6202">
        <w:rPr>
          <w:rFonts w:ascii="Times New Roman" w:hAnsi="Times New Roman"/>
          <w:sz w:val="24"/>
          <w:szCs w:val="24"/>
          <w:lang w:val="en-GB"/>
        </w:rPr>
        <w:t>The role played by central banks in our economies has changed drastically since 2007, when they became key players in the stabili</w:t>
      </w:r>
      <w:r w:rsidR="00C9735D" w:rsidRPr="000D6202">
        <w:rPr>
          <w:rFonts w:ascii="Times New Roman" w:hAnsi="Times New Roman"/>
          <w:sz w:val="24"/>
          <w:szCs w:val="24"/>
          <w:lang w:val="en-GB"/>
        </w:rPr>
        <w:t>s</w:t>
      </w:r>
      <w:r w:rsidRPr="000D6202">
        <w:rPr>
          <w:rFonts w:ascii="Times New Roman" w:hAnsi="Times New Roman"/>
          <w:sz w:val="24"/>
          <w:szCs w:val="24"/>
          <w:lang w:val="en-GB"/>
        </w:rPr>
        <w:t xml:space="preserve">ation of financial and economic systems. In addition </w:t>
      </w:r>
      <w:r w:rsidR="00086458" w:rsidRPr="000D6202">
        <w:rPr>
          <w:rFonts w:ascii="Times New Roman" w:hAnsi="Times New Roman"/>
          <w:sz w:val="24"/>
          <w:szCs w:val="24"/>
          <w:lang w:val="en-GB"/>
        </w:rPr>
        <w:t>to</w:t>
      </w:r>
      <w:r w:rsidR="00C9735D"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gaining new competences, their policies strayed increasingly into the political </w:t>
      </w:r>
      <w:r w:rsidRPr="000D6202">
        <w:rPr>
          <w:rFonts w:ascii="Times New Roman" w:hAnsi="Times New Roman"/>
          <w:sz w:val="24"/>
          <w:szCs w:val="24"/>
          <w:lang w:val="en-GB"/>
        </w:rPr>
        <w:t xml:space="preserve">realm and became more controversial. This new era of central banking has revived scholarly debates and vibrant future research perspectives </w:t>
      </w:r>
      <w:bookmarkStart w:id="0" w:name="_GoBack"/>
      <w:bookmarkEnd w:id="0"/>
      <w:r w:rsidRPr="000D6202">
        <w:rPr>
          <w:rFonts w:ascii="Times New Roman" w:hAnsi="Times New Roman"/>
          <w:sz w:val="24"/>
          <w:szCs w:val="24"/>
          <w:lang w:val="en-GB"/>
        </w:rPr>
        <w:t>on both dimensions of their independence: towards political and financial institutions. In this article, we review the theoretical debates between economists, political scientists, economic sociologists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and political philosophers on this issue. </w:t>
      </w:r>
    </w:p>
    <w:p w14:paraId="4622C75C" w14:textId="77777777" w:rsidR="009B3C64" w:rsidRPr="000D6202" w:rsidRDefault="009B3C64" w:rsidP="009B3C64">
      <w:pPr>
        <w:pStyle w:val="Heading2"/>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Introduction.</w:t>
      </w:r>
    </w:p>
    <w:p w14:paraId="3F46F78D" w14:textId="7CE7B0E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Because they are the sole public institutions that have been granted a monopoly over the issuance of legal tender, central banks are located at the interface between political authorities and financial markets (Feiertag and Margairaz</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2016). Throughout history, the scope of the policy objectives delegated to central banks and their autonomy towards states and markets have evolved according to dominant economic ideas (Singleton, 2010).</w:t>
      </w:r>
    </w:p>
    <w:p w14:paraId="2093C1FA" w14:textId="014AF69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role played by central banks in our societies today is defined by the Central Bank Independence (CBI) template, which mushroomed around the world in the early 1990’s. Under this model, central banks are granted a high level of independence from political authorities to reach the narrow objective of price stability. While they were considered as apolitical technocratic institutions for almost two decades (Marcussen</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2009), central banks moved away from their narrow technical role and strayed </w:t>
      </w:r>
      <w:r w:rsidR="00086458" w:rsidRPr="000D6202">
        <w:rPr>
          <w:rFonts w:ascii="Times New Roman" w:hAnsi="Times New Roman"/>
          <w:sz w:val="24"/>
          <w:szCs w:val="24"/>
          <w:lang w:val="en-GB"/>
        </w:rPr>
        <w:t xml:space="preserve">increasingly </w:t>
      </w:r>
      <w:r w:rsidRPr="000D6202">
        <w:rPr>
          <w:rFonts w:ascii="Times New Roman" w:hAnsi="Times New Roman"/>
          <w:sz w:val="24"/>
          <w:szCs w:val="24"/>
          <w:lang w:val="en-GB"/>
        </w:rPr>
        <w:t>into political territory in</w:t>
      </w:r>
      <w:r w:rsidR="00086458" w:rsidRPr="000D6202">
        <w:rPr>
          <w:rFonts w:ascii="Times New Roman" w:hAnsi="Times New Roman"/>
          <w:sz w:val="24"/>
          <w:szCs w:val="24"/>
          <w:lang w:val="en-GB"/>
        </w:rPr>
        <w:t xml:space="preserve"> response to </w:t>
      </w:r>
      <w:r w:rsidRPr="000D6202">
        <w:rPr>
          <w:rFonts w:ascii="Times New Roman" w:hAnsi="Times New Roman"/>
          <w:sz w:val="24"/>
          <w:szCs w:val="24"/>
          <w:lang w:val="en-GB"/>
        </w:rPr>
        <w:t>the 2007 financial crisis (Goodharth</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2011).</w:t>
      </w:r>
    </w:p>
    <w:p w14:paraId="5F8560EC" w14:textId="10C5B49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Today, social sciences’ research agendas are catching up with the tectonic changes that </w:t>
      </w:r>
      <w:r w:rsidR="00086458" w:rsidRPr="000D6202">
        <w:rPr>
          <w:rFonts w:ascii="Times New Roman" w:hAnsi="Times New Roman"/>
          <w:sz w:val="24"/>
          <w:szCs w:val="24"/>
          <w:lang w:val="en-GB"/>
        </w:rPr>
        <w:t xml:space="preserve">have </w:t>
      </w:r>
      <w:r w:rsidRPr="000D6202">
        <w:rPr>
          <w:rFonts w:ascii="Times New Roman" w:hAnsi="Times New Roman"/>
          <w:sz w:val="24"/>
          <w:szCs w:val="24"/>
          <w:lang w:val="en-GB"/>
        </w:rPr>
        <w:t xml:space="preserve">occurred in the practice of central banking </w:t>
      </w:r>
      <w:r w:rsidR="00086458" w:rsidRPr="000D6202">
        <w:rPr>
          <w:rFonts w:ascii="Times New Roman" w:hAnsi="Times New Roman"/>
          <w:sz w:val="24"/>
          <w:szCs w:val="24"/>
          <w:lang w:val="en-GB"/>
        </w:rPr>
        <w:t>in the last</w:t>
      </w:r>
      <w:r w:rsidRPr="000D6202">
        <w:rPr>
          <w:rFonts w:ascii="Times New Roman" w:hAnsi="Times New Roman"/>
          <w:sz w:val="24"/>
          <w:szCs w:val="24"/>
          <w:lang w:val="en-GB"/>
        </w:rPr>
        <w:t xml:space="preserve"> ten years. Besides renewing key questions </w:t>
      </w:r>
      <w:r w:rsidRPr="000D6202">
        <w:rPr>
          <w:rFonts w:ascii="Times New Roman" w:hAnsi="Times New Roman"/>
          <w:sz w:val="24"/>
          <w:szCs w:val="24"/>
          <w:lang w:val="en-GB"/>
        </w:rPr>
        <w:lastRenderedPageBreak/>
        <w:t>in the economic field, the new role played by central banks in political and financial systems is debated in many academic disciplines, including political science, political economy, financial ethics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and economic sociology</w:t>
      </w:r>
      <w:r w:rsidR="00086458" w:rsidRPr="000D6202">
        <w:rPr>
          <w:rFonts w:ascii="Times New Roman" w:hAnsi="Times New Roman"/>
          <w:sz w:val="24"/>
          <w:szCs w:val="24"/>
          <w:lang w:val="en-GB"/>
        </w:rPr>
        <w:t>.</w:t>
      </w:r>
      <w:r w:rsidRPr="000D6202">
        <w:rPr>
          <w:rStyle w:val="FootnoteReference"/>
          <w:rFonts w:ascii="Times New Roman" w:hAnsi="Times New Roman"/>
          <w:lang w:val="en-GB"/>
        </w:rPr>
        <w:footnoteReference w:id="2"/>
      </w:r>
    </w:p>
    <w:p w14:paraId="1AE4140E" w14:textId="4A74322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This article reviews this new body of research by zooming in on the two dimensions of central bank independence: towards political authorities and financial markets. The first issue relates to the politici</w:t>
      </w:r>
      <w:r w:rsidR="00C9735D" w:rsidRPr="000D6202">
        <w:rPr>
          <w:rFonts w:ascii="Times New Roman" w:hAnsi="Times New Roman"/>
          <w:sz w:val="24"/>
          <w:szCs w:val="24"/>
          <w:lang w:val="en-GB"/>
        </w:rPr>
        <w:t>s</w:t>
      </w:r>
      <w:r w:rsidRPr="000D6202">
        <w:rPr>
          <w:rFonts w:ascii="Times New Roman" w:hAnsi="Times New Roman"/>
          <w:sz w:val="24"/>
          <w:szCs w:val="24"/>
          <w:lang w:val="en-GB"/>
        </w:rPr>
        <w:t xml:space="preserve">ation of central banks and their appropriate degree of isolation from elected policymakers. The second issue relates to their independence from the financial sector, which has been questioned in light of their failure </w:t>
      </w:r>
      <w:r w:rsidR="00086458" w:rsidRPr="000D6202">
        <w:rPr>
          <w:rFonts w:ascii="Times New Roman" w:hAnsi="Times New Roman"/>
          <w:sz w:val="24"/>
          <w:szCs w:val="24"/>
          <w:lang w:val="en-GB"/>
        </w:rPr>
        <w:t xml:space="preserve">to </w:t>
      </w:r>
      <w:r w:rsidRPr="000D6202">
        <w:rPr>
          <w:rFonts w:ascii="Times New Roman" w:hAnsi="Times New Roman"/>
          <w:sz w:val="24"/>
          <w:szCs w:val="24"/>
          <w:lang w:val="en-GB"/>
        </w:rPr>
        <w:t>prevent speculative bubbles and the prompt and large amount of liquidities provided to the banking and financial sector after the Lehman Brothers’ bankruptcy.</w:t>
      </w:r>
    </w:p>
    <w:p w14:paraId="3AE21A27" w14:textId="7777777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 section 1, we introduce the initial debates on the CBI paradigm and how the financial crisis challenged it. In sections 2 and 3, we explore how the academic literature has tackled the two dimensions of central bank independency.</w:t>
      </w:r>
    </w:p>
    <w:p w14:paraId="0F12256F" w14:textId="7777777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p>
    <w:p w14:paraId="4632CFF1" w14:textId="77777777" w:rsidR="009B3C64" w:rsidRPr="000D6202" w:rsidRDefault="009B3C64" w:rsidP="009B3C64">
      <w:pPr>
        <w:numPr>
          <w:ilvl w:val="0"/>
          <w:numId w:val="1"/>
        </w:num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Central Bank independence: a paradigm challenged by the crisis</w:t>
      </w:r>
    </w:p>
    <w:p w14:paraId="2660285E" w14:textId="4AACA24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CBI theoretical framework was developed during the 1970’s inflationary episodes in industriali</w:t>
      </w:r>
      <w:r w:rsidR="00C9735D" w:rsidRPr="000D6202">
        <w:rPr>
          <w:rFonts w:ascii="Times New Roman" w:hAnsi="Times New Roman"/>
          <w:sz w:val="24"/>
          <w:szCs w:val="24"/>
          <w:lang w:val="en-GB"/>
        </w:rPr>
        <w:t>s</w:t>
      </w:r>
      <w:r w:rsidRPr="000D6202">
        <w:rPr>
          <w:rFonts w:ascii="Times New Roman" w:hAnsi="Times New Roman"/>
          <w:sz w:val="24"/>
          <w:szCs w:val="24"/>
          <w:lang w:val="en-GB"/>
        </w:rPr>
        <w:t>ed countries. The New classical macroeconomics (Kydland and Prescott, 1977</w:t>
      </w:r>
      <w:r w:rsidR="00086458" w:rsidRPr="000D6202">
        <w:rPr>
          <w:rFonts w:ascii="Times New Roman" w:hAnsi="Times New Roman"/>
          <w:sz w:val="24"/>
          <w:szCs w:val="24"/>
          <w:lang w:val="en-GB"/>
        </w:rPr>
        <w:t xml:space="preserve">; </w:t>
      </w:r>
      <w:r w:rsidRPr="000D6202">
        <w:rPr>
          <w:rFonts w:ascii="Times New Roman" w:hAnsi="Times New Roman"/>
          <w:sz w:val="24"/>
          <w:szCs w:val="24"/>
          <w:lang w:val="en-GB"/>
        </w:rPr>
        <w:t>Barro and Gordon, 1983) explained those inflation pressures by the “time-inconsistency” problem. According to this stream of research, elected authorities cannot refrain from manipulating the money supply (for example, to boost employment before the elections). Yet, price stability is a long</w:t>
      </w:r>
      <w:r w:rsidR="00086458" w:rsidRPr="000D6202">
        <w:rPr>
          <w:rFonts w:ascii="Times New Roman" w:hAnsi="Times New Roman"/>
          <w:sz w:val="24"/>
          <w:szCs w:val="24"/>
          <w:lang w:val="en-GB"/>
        </w:rPr>
        <w:t>-</w:t>
      </w:r>
      <w:r w:rsidRPr="000D6202">
        <w:rPr>
          <w:rFonts w:ascii="Times New Roman" w:hAnsi="Times New Roman"/>
          <w:sz w:val="24"/>
          <w:szCs w:val="24"/>
          <w:lang w:val="en-GB"/>
        </w:rPr>
        <w:t>run objective that is seen to require stable and predictable behaviour from monetary authorities. Hence, Rogoff (1985) suggests appoint</w:t>
      </w:r>
      <w:r w:rsidR="00086458" w:rsidRPr="000D6202">
        <w:rPr>
          <w:rFonts w:ascii="Times New Roman" w:hAnsi="Times New Roman"/>
          <w:sz w:val="24"/>
          <w:szCs w:val="24"/>
          <w:lang w:val="en-GB"/>
        </w:rPr>
        <w:t>ing</w:t>
      </w:r>
      <w:r w:rsidRPr="000D6202">
        <w:rPr>
          <w:rFonts w:ascii="Times New Roman" w:hAnsi="Times New Roman"/>
          <w:sz w:val="24"/>
          <w:szCs w:val="24"/>
          <w:lang w:val="en-GB"/>
        </w:rPr>
        <w:t xml:space="preserve"> central bankers who are more inflation-adverse than </w:t>
      </w:r>
      <w:r w:rsidR="00086458" w:rsidRPr="000D6202">
        <w:rPr>
          <w:rFonts w:ascii="Times New Roman" w:hAnsi="Times New Roman"/>
          <w:sz w:val="24"/>
          <w:szCs w:val="24"/>
          <w:lang w:val="en-GB"/>
        </w:rPr>
        <w:t xml:space="preserve">are </w:t>
      </w:r>
      <w:r w:rsidRPr="000D6202">
        <w:rPr>
          <w:rFonts w:ascii="Times New Roman" w:hAnsi="Times New Roman"/>
          <w:sz w:val="24"/>
          <w:szCs w:val="24"/>
          <w:lang w:val="en-GB"/>
        </w:rPr>
        <w:t xml:space="preserve">governmental authorities to reach an optimal policy-mix. Moreover, in this view, central bankers need to operate in an independent institution protected from political interferences to be credible in the eyes of financial markets. This high level of independence is justified by the restriction of </w:t>
      </w:r>
      <w:r w:rsidR="00086458" w:rsidRPr="000D6202">
        <w:rPr>
          <w:rFonts w:ascii="Times New Roman" w:hAnsi="Times New Roman"/>
          <w:sz w:val="24"/>
          <w:szCs w:val="24"/>
          <w:lang w:val="en-GB"/>
        </w:rPr>
        <w:t xml:space="preserve">the </w:t>
      </w:r>
      <w:r w:rsidRPr="000D6202">
        <w:rPr>
          <w:rFonts w:ascii="Times New Roman" w:hAnsi="Times New Roman"/>
          <w:sz w:val="24"/>
          <w:szCs w:val="24"/>
          <w:lang w:val="en-GB"/>
        </w:rPr>
        <w:t xml:space="preserve">central bank’s objectives to the narrow goal of price stability, which is neutral from a distributional point of view in </w:t>
      </w:r>
      <w:r w:rsidR="00086458" w:rsidRPr="000D6202">
        <w:rPr>
          <w:rFonts w:ascii="Times New Roman" w:hAnsi="Times New Roman"/>
          <w:sz w:val="24"/>
          <w:szCs w:val="24"/>
          <w:lang w:val="en-GB"/>
        </w:rPr>
        <w:t xml:space="preserve">both </w:t>
      </w:r>
      <w:r w:rsidRPr="000D6202">
        <w:rPr>
          <w:rFonts w:ascii="Times New Roman" w:hAnsi="Times New Roman"/>
          <w:sz w:val="24"/>
          <w:szCs w:val="24"/>
          <w:lang w:val="en-GB"/>
        </w:rPr>
        <w:t>the middle</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and </w:t>
      </w:r>
      <w:r w:rsidR="00086458" w:rsidRPr="000D6202">
        <w:rPr>
          <w:rFonts w:ascii="Times New Roman" w:hAnsi="Times New Roman"/>
          <w:sz w:val="24"/>
          <w:szCs w:val="24"/>
          <w:lang w:val="en-GB"/>
        </w:rPr>
        <w:t xml:space="preserve">the </w:t>
      </w:r>
      <w:r w:rsidRPr="000D6202">
        <w:rPr>
          <w:rFonts w:ascii="Times New Roman" w:hAnsi="Times New Roman"/>
          <w:sz w:val="24"/>
          <w:szCs w:val="24"/>
          <w:lang w:val="en-GB"/>
        </w:rPr>
        <w:t>long</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run (Issing et al., 2001). In other words, a “stable” monetary policy should benefit society as a whole, </w:t>
      </w:r>
      <w:r w:rsidR="00086458" w:rsidRPr="000D6202">
        <w:rPr>
          <w:rFonts w:ascii="Times New Roman" w:hAnsi="Times New Roman"/>
          <w:sz w:val="24"/>
          <w:szCs w:val="24"/>
          <w:lang w:val="en-GB"/>
        </w:rPr>
        <w:t xml:space="preserve">and </w:t>
      </w:r>
      <w:r w:rsidRPr="000D6202">
        <w:rPr>
          <w:rFonts w:ascii="Times New Roman" w:hAnsi="Times New Roman"/>
          <w:sz w:val="24"/>
          <w:szCs w:val="24"/>
          <w:lang w:val="en-GB"/>
        </w:rPr>
        <w:t xml:space="preserve">not </w:t>
      </w:r>
      <w:r w:rsidR="00086458" w:rsidRPr="000D6202">
        <w:rPr>
          <w:rFonts w:ascii="Times New Roman" w:hAnsi="Times New Roman"/>
          <w:sz w:val="24"/>
          <w:szCs w:val="24"/>
          <w:lang w:val="en-GB"/>
        </w:rPr>
        <w:t xml:space="preserve">just </w:t>
      </w:r>
      <w:r w:rsidRPr="000D6202">
        <w:rPr>
          <w:rFonts w:ascii="Times New Roman" w:hAnsi="Times New Roman"/>
          <w:sz w:val="24"/>
          <w:szCs w:val="24"/>
          <w:lang w:val="en-GB"/>
        </w:rPr>
        <w:t>some economic agents at the expense of others. In fact, the CBI model implies a clear division of institutional labour between, on the one hand, macroeconomic policies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such as fiscal policy</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with distributive consequences</w:t>
      </w:r>
      <w:r w:rsidR="00086458" w:rsidRPr="000D6202">
        <w:rPr>
          <w:rFonts w:ascii="Times New Roman" w:hAnsi="Times New Roman"/>
          <w:sz w:val="24"/>
          <w:szCs w:val="24"/>
          <w:lang w:val="en-GB"/>
        </w:rPr>
        <w:t xml:space="preserve"> that</w:t>
      </w:r>
      <w:r w:rsidRPr="000D6202">
        <w:rPr>
          <w:rFonts w:ascii="Times New Roman" w:hAnsi="Times New Roman"/>
          <w:sz w:val="24"/>
          <w:szCs w:val="24"/>
          <w:lang w:val="en-GB"/>
        </w:rPr>
        <w:t xml:space="preserve"> belong to the political realm, and, on the other hand, monetary policy, which should be managed by independent technocrats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as it is considered neutral in distributive terms </w:t>
      </w:r>
      <w:r w:rsidR="00086458" w:rsidRPr="000D6202">
        <w:rPr>
          <w:rFonts w:ascii="Times New Roman" w:hAnsi="Times New Roman"/>
          <w:sz w:val="24"/>
          <w:szCs w:val="24"/>
          <w:lang w:val="en-GB"/>
        </w:rPr>
        <w:t xml:space="preserve">in both </w:t>
      </w:r>
      <w:r w:rsidRPr="000D6202">
        <w:rPr>
          <w:rFonts w:ascii="Times New Roman" w:hAnsi="Times New Roman"/>
          <w:sz w:val="24"/>
          <w:szCs w:val="24"/>
          <w:lang w:val="en-GB"/>
        </w:rPr>
        <w:t>the middle</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and </w:t>
      </w:r>
      <w:r w:rsidR="00086458" w:rsidRPr="000D6202">
        <w:rPr>
          <w:rFonts w:ascii="Times New Roman" w:hAnsi="Times New Roman"/>
          <w:sz w:val="24"/>
          <w:szCs w:val="24"/>
          <w:lang w:val="en-GB"/>
        </w:rPr>
        <w:t xml:space="preserve">the </w:t>
      </w:r>
      <w:r w:rsidRPr="000D6202">
        <w:rPr>
          <w:rFonts w:ascii="Times New Roman" w:hAnsi="Times New Roman"/>
          <w:sz w:val="24"/>
          <w:szCs w:val="24"/>
          <w:lang w:val="en-GB"/>
        </w:rPr>
        <w:t>long</w:t>
      </w:r>
      <w:r w:rsidR="00086458" w:rsidRPr="000D6202">
        <w:rPr>
          <w:rFonts w:ascii="Times New Roman" w:hAnsi="Times New Roman"/>
          <w:sz w:val="24"/>
          <w:szCs w:val="24"/>
          <w:lang w:val="en-GB"/>
        </w:rPr>
        <w:t>-</w:t>
      </w:r>
      <w:r w:rsidRPr="000D6202">
        <w:rPr>
          <w:rFonts w:ascii="Times New Roman" w:hAnsi="Times New Roman"/>
          <w:sz w:val="24"/>
          <w:szCs w:val="24"/>
          <w:lang w:val="en-GB"/>
        </w:rPr>
        <w:t>run.</w:t>
      </w:r>
    </w:p>
    <w:p w14:paraId="51F9737E" w14:textId="51C7648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lastRenderedPageBreak/>
        <w:t>Outside of the New classical macroeconomics consensus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however, CBI was controversial among economists. From an empirical point of view, “heterodox” and comparative political economists found that decreasing inflation rates in </w:t>
      </w:r>
      <w:r w:rsidR="00086458" w:rsidRPr="000D6202">
        <w:rPr>
          <w:rFonts w:ascii="Times New Roman" w:hAnsi="Times New Roman"/>
          <w:sz w:val="24"/>
          <w:szCs w:val="24"/>
          <w:lang w:val="en-GB"/>
        </w:rPr>
        <w:t xml:space="preserve">industrialised </w:t>
      </w:r>
      <w:r w:rsidRPr="000D6202">
        <w:rPr>
          <w:rFonts w:ascii="Times New Roman" w:hAnsi="Times New Roman"/>
          <w:sz w:val="24"/>
          <w:szCs w:val="24"/>
          <w:lang w:val="en-GB"/>
        </w:rPr>
        <w:t>countries since the 1970’s cannot be solely explained by the existence of independent central banks but, rather, by taking into account wider social preferences and institutional arrangements (Hayo</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1998). It is argued, for example, that</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without strong trade unions, the highly independent German Bundesbank could not have performed </w:t>
      </w:r>
      <w:r w:rsidR="00086458" w:rsidRPr="000D6202">
        <w:rPr>
          <w:rFonts w:ascii="Times New Roman" w:hAnsi="Times New Roman"/>
          <w:sz w:val="24"/>
          <w:szCs w:val="24"/>
          <w:lang w:val="en-GB"/>
        </w:rPr>
        <w:t xml:space="preserve">so </w:t>
      </w:r>
      <w:r w:rsidRPr="000D6202">
        <w:rPr>
          <w:rFonts w:ascii="Times New Roman" w:hAnsi="Times New Roman"/>
          <w:sz w:val="24"/>
          <w:szCs w:val="24"/>
          <w:lang w:val="en-GB"/>
        </w:rPr>
        <w:t>well (Hall &amp; Franzeze</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1998). Moreover, the French “Regulation school” underlines that central banks are unavoidably political institutions</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since money requires a high level of trust among its users and is deeply embedded within states ‘sovereignty (Aglietta et al</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2016). Besides, central banks </w:t>
      </w:r>
      <w:r w:rsidR="00086458" w:rsidRPr="000D6202">
        <w:rPr>
          <w:rFonts w:ascii="Times New Roman" w:hAnsi="Times New Roman"/>
          <w:sz w:val="24"/>
          <w:szCs w:val="24"/>
          <w:lang w:val="en-GB"/>
        </w:rPr>
        <w:t xml:space="preserve">make </w:t>
      </w:r>
      <w:r w:rsidRPr="000D6202">
        <w:rPr>
          <w:rFonts w:ascii="Times New Roman" w:hAnsi="Times New Roman"/>
          <w:sz w:val="24"/>
          <w:szCs w:val="24"/>
          <w:lang w:val="en-GB"/>
        </w:rPr>
        <w:t>political choices: when they set their interest rate, they face a trade-off between low inflation rates and the level of economic activity and employment (Fernandez-Albertos, 2015</w:t>
      </w:r>
      <w:r w:rsidR="00086458" w:rsidRPr="000D6202">
        <w:rPr>
          <w:rFonts w:ascii="Times New Roman" w:hAnsi="Times New Roman"/>
          <w:sz w:val="24"/>
          <w:szCs w:val="24"/>
          <w:lang w:val="en-GB"/>
        </w:rPr>
        <w:t xml:space="preserve">; </w:t>
      </w:r>
      <w:r w:rsidRPr="000D6202">
        <w:rPr>
          <w:rFonts w:ascii="Times New Roman" w:hAnsi="Times New Roman"/>
          <w:sz w:val="24"/>
          <w:szCs w:val="24"/>
          <w:lang w:val="en-GB"/>
        </w:rPr>
        <w:t>Epstein, 2005).</w:t>
      </w:r>
    </w:p>
    <w:p w14:paraId="69D07E57" w14:textId="48C0A06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diffusion of the CBI model has been explained by the whole spectrum of political sciences’ schools of thought</w:t>
      </w:r>
      <w:r w:rsidR="00086458" w:rsidRPr="000D6202">
        <w:rPr>
          <w:rFonts w:ascii="Times New Roman" w:hAnsi="Times New Roman"/>
          <w:sz w:val="24"/>
          <w:szCs w:val="24"/>
          <w:lang w:val="en-GB"/>
        </w:rPr>
        <w:t>;</w:t>
      </w:r>
      <w:r w:rsidRPr="000D6202">
        <w:rPr>
          <w:rFonts w:ascii="Times New Roman" w:hAnsi="Times New Roman"/>
          <w:sz w:val="24"/>
          <w:szCs w:val="24"/>
          <w:lang w:val="en-GB"/>
        </w:rPr>
        <w:t xml:space="preserve"> ranging from constructivists to rational choice models.</w:t>
      </w:r>
      <w:r w:rsidR="00086458"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According to historical institutionalists and constructivist scholars, central banks became independent because of coercive pressures from supra-national </w:t>
      </w:r>
      <w:r w:rsidR="00086458" w:rsidRPr="000D6202">
        <w:rPr>
          <w:rFonts w:ascii="Times New Roman" w:hAnsi="Times New Roman"/>
          <w:sz w:val="24"/>
          <w:szCs w:val="24"/>
          <w:lang w:val="en-GB"/>
        </w:rPr>
        <w:t xml:space="preserve">organisations </w:t>
      </w:r>
      <w:r w:rsidRPr="000D6202">
        <w:rPr>
          <w:rFonts w:ascii="Times New Roman" w:hAnsi="Times New Roman"/>
          <w:sz w:val="24"/>
          <w:szCs w:val="24"/>
          <w:lang w:val="en-GB"/>
        </w:rPr>
        <w:t>(such as the EU and the IMF) and the diffusion of neo-classical ideas among economists and policy-makers (Verdun</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1998</w:t>
      </w:r>
      <w:r w:rsidR="00086458" w:rsidRPr="000D6202">
        <w:rPr>
          <w:rFonts w:ascii="Times New Roman" w:hAnsi="Times New Roman"/>
          <w:sz w:val="24"/>
          <w:szCs w:val="24"/>
          <w:lang w:val="en-GB"/>
        </w:rPr>
        <w:t xml:space="preserve">; </w:t>
      </w:r>
      <w:r w:rsidRPr="000D6202">
        <w:rPr>
          <w:rFonts w:ascii="Times New Roman" w:hAnsi="Times New Roman"/>
          <w:sz w:val="24"/>
          <w:szCs w:val="24"/>
          <w:lang w:val="en-GB"/>
        </w:rPr>
        <w:t>McNamara</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2002). Moreover, this delegation of monetary competences to independent agencies provides policymakers with opportunities to pursue “blame-avoidance” strategies and consolidate alliances between “strange bedfellows” (Dyson &amp; Featherstone</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1999</w:t>
      </w:r>
      <w:r w:rsidR="004A0131" w:rsidRPr="000D6202">
        <w:rPr>
          <w:rFonts w:ascii="Times New Roman" w:hAnsi="Times New Roman"/>
          <w:sz w:val="24"/>
          <w:szCs w:val="24"/>
          <w:lang w:val="en-GB"/>
        </w:rPr>
        <w:t xml:space="preserve">; </w:t>
      </w:r>
      <w:r w:rsidRPr="000D6202">
        <w:rPr>
          <w:rFonts w:ascii="Times New Roman" w:hAnsi="Times New Roman"/>
          <w:sz w:val="24"/>
          <w:szCs w:val="24"/>
          <w:lang w:val="en-GB"/>
        </w:rPr>
        <w:t>Jabko</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2006). Finally, rational choice scholars explain the rise of CBI with costs/benefits analysis</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such as the Principal/Agent approach (Elgie</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2002</w:t>
      </w:r>
      <w:r w:rsidR="004A0131" w:rsidRPr="000D6202">
        <w:rPr>
          <w:rFonts w:ascii="Times New Roman" w:hAnsi="Times New Roman"/>
          <w:sz w:val="24"/>
          <w:szCs w:val="24"/>
          <w:lang w:val="en-GB"/>
        </w:rPr>
        <w:t xml:space="preserve">; </w:t>
      </w:r>
      <w:r w:rsidRPr="000D6202">
        <w:rPr>
          <w:rFonts w:ascii="Times New Roman" w:hAnsi="Times New Roman"/>
          <w:sz w:val="24"/>
          <w:szCs w:val="24"/>
          <w:lang w:val="en-GB"/>
        </w:rPr>
        <w:t>Majone</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1996). Echoing neo-classical economists’ arguments (Alesina &amp; Tabellini</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2007), they claim that the delegation of powers to independent agencies is motivated by the rational expectations of reducing transaction costs and taming inflationary pressures.</w:t>
      </w:r>
    </w:p>
    <w:p w14:paraId="7E8BBA13" w14:textId="3181B700"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The 2007 financial crisis has shaken the CBI template on three fronts. First, it became clear that price stability was not sufficient to ensure macroeconomic stability and prevent financial crashes, as was believed before the crisis. This “benign neglect” doctrine </w:t>
      </w:r>
      <w:r w:rsidRPr="000D6202">
        <w:rPr>
          <w:rFonts w:ascii="Times New Roman" w:hAnsi="Times New Roman"/>
          <w:i/>
          <w:sz w:val="24"/>
          <w:szCs w:val="24"/>
          <w:lang w:val="en-GB"/>
        </w:rPr>
        <w:t>de facto</w:t>
      </w:r>
      <w:r w:rsidRPr="000D6202">
        <w:rPr>
          <w:rFonts w:ascii="Times New Roman" w:hAnsi="Times New Roman"/>
          <w:sz w:val="24"/>
          <w:szCs w:val="24"/>
          <w:lang w:val="en-GB"/>
        </w:rPr>
        <w:t xml:space="preserve"> failed to prevent the formation of asset prices bubbles on both sides of the Atlantic. The Fed</w:t>
      </w:r>
      <w:r w:rsidR="0014650C" w:rsidRPr="000D6202">
        <w:rPr>
          <w:rFonts w:ascii="Times New Roman" w:hAnsi="Times New Roman"/>
          <w:sz w:val="24"/>
          <w:szCs w:val="24"/>
          <w:lang w:val="en-GB"/>
        </w:rPr>
        <w:t>eral Reserve (Fed)</w:t>
      </w:r>
      <w:r w:rsidRPr="000D6202">
        <w:rPr>
          <w:rFonts w:ascii="Times New Roman" w:hAnsi="Times New Roman"/>
          <w:sz w:val="24"/>
          <w:szCs w:val="24"/>
          <w:lang w:val="en-GB"/>
        </w:rPr>
        <w:t xml:space="preserve"> did not pay enough attention to the speculative tensions on the US housing market</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while the E</w:t>
      </w:r>
      <w:r w:rsidR="0014650C" w:rsidRPr="000D6202">
        <w:rPr>
          <w:rFonts w:ascii="Times New Roman" w:hAnsi="Times New Roman"/>
          <w:sz w:val="24"/>
          <w:szCs w:val="24"/>
          <w:lang w:val="en-GB"/>
        </w:rPr>
        <w:t xml:space="preserve">uropean </w:t>
      </w:r>
      <w:r w:rsidRPr="000D6202">
        <w:rPr>
          <w:rFonts w:ascii="Times New Roman" w:hAnsi="Times New Roman"/>
          <w:sz w:val="24"/>
          <w:szCs w:val="24"/>
          <w:lang w:val="en-GB"/>
        </w:rPr>
        <w:t>C</w:t>
      </w:r>
      <w:r w:rsidR="0014650C" w:rsidRPr="000D6202">
        <w:rPr>
          <w:rFonts w:ascii="Times New Roman" w:hAnsi="Times New Roman"/>
          <w:sz w:val="24"/>
          <w:szCs w:val="24"/>
          <w:lang w:val="en-GB"/>
        </w:rPr>
        <w:t xml:space="preserve">entral </w:t>
      </w:r>
      <w:r w:rsidRPr="000D6202">
        <w:rPr>
          <w:rFonts w:ascii="Times New Roman" w:hAnsi="Times New Roman"/>
          <w:sz w:val="24"/>
          <w:szCs w:val="24"/>
          <w:lang w:val="en-GB"/>
        </w:rPr>
        <w:t>B</w:t>
      </w:r>
      <w:r w:rsidR="0014650C" w:rsidRPr="000D6202">
        <w:rPr>
          <w:rFonts w:ascii="Times New Roman" w:hAnsi="Times New Roman"/>
          <w:sz w:val="24"/>
          <w:szCs w:val="24"/>
          <w:lang w:val="en-GB"/>
        </w:rPr>
        <w:t>ank (ECB)</w:t>
      </w:r>
      <w:r w:rsidRPr="000D6202">
        <w:rPr>
          <w:rFonts w:ascii="Times New Roman" w:hAnsi="Times New Roman"/>
          <w:sz w:val="24"/>
          <w:szCs w:val="24"/>
          <w:lang w:val="en-GB"/>
        </w:rPr>
        <w:t xml:space="preserve"> underestimated the risks of financial imbalances within the Eurozone. This complacency was one of the main regulatory failures that led to the 2007 financial crisis (Engelen et al., 2011</w:t>
      </w:r>
      <w:r w:rsidR="004A0131" w:rsidRPr="000D6202">
        <w:rPr>
          <w:rFonts w:ascii="Times New Roman" w:hAnsi="Times New Roman"/>
          <w:sz w:val="24"/>
          <w:szCs w:val="24"/>
          <w:lang w:val="en-GB"/>
        </w:rPr>
        <w:t xml:space="preserve">; </w:t>
      </w:r>
      <w:r w:rsidRPr="000D6202">
        <w:rPr>
          <w:rFonts w:ascii="Times New Roman" w:hAnsi="Times New Roman"/>
          <w:sz w:val="24"/>
          <w:szCs w:val="24"/>
          <w:lang w:val="en-GB"/>
        </w:rPr>
        <w:t>Krippner, 2012).</w:t>
      </w:r>
    </w:p>
    <w:p w14:paraId="516E6F60" w14:textId="62DFDA50" w:rsidR="009B3C64" w:rsidRPr="000D6202" w:rsidRDefault="009B3C64" w:rsidP="009B3C64">
      <w:pPr>
        <w:spacing w:afterLines="200" w:after="480"/>
        <w:jc w:val="both"/>
        <w:rPr>
          <w:rFonts w:ascii="Times New Roman" w:hAnsi="Times New Roman"/>
          <w:sz w:val="24"/>
          <w:szCs w:val="24"/>
          <w:lang w:val="en-GB"/>
        </w:rPr>
      </w:pPr>
      <w:r w:rsidRPr="000D6202">
        <w:rPr>
          <w:rFonts w:ascii="Times New Roman" w:hAnsi="Times New Roman"/>
          <w:sz w:val="24"/>
          <w:szCs w:val="24"/>
          <w:lang w:val="en-GB"/>
        </w:rPr>
        <w:t>Second, to save the financial system from a catastrophic meltdown, central bankers radically modified the settings of their monetary instruments. After the collapse of Lehman Brothers in September 2008, they lowered key policy rates at the zero lower bound and extended their liquidity offers in size, range of collateral</w:t>
      </w:r>
      <w:r w:rsidR="004A0131" w:rsidRPr="000D6202">
        <w:rPr>
          <w:rFonts w:ascii="Times New Roman" w:hAnsi="Times New Roman"/>
          <w:sz w:val="24"/>
          <w:szCs w:val="24"/>
          <w:lang w:val="en-GB"/>
        </w:rPr>
        <w:t xml:space="preserve">, </w:t>
      </w:r>
      <w:r w:rsidRPr="000D6202">
        <w:rPr>
          <w:rFonts w:ascii="Times New Roman" w:hAnsi="Times New Roman"/>
          <w:sz w:val="24"/>
          <w:szCs w:val="24"/>
          <w:lang w:val="en-GB"/>
        </w:rPr>
        <w:t>and length, as can be exemplified by the ECB´s Long Term Refinancing Operations (LTRO). As these measures were not sufficient to revive the economy, central bankers turned towards unconventional measures</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including the purchase of </w:t>
      </w:r>
      <w:r w:rsidRPr="000D6202">
        <w:rPr>
          <w:rFonts w:ascii="Times New Roman" w:hAnsi="Times New Roman"/>
          <w:sz w:val="24"/>
          <w:szCs w:val="24"/>
          <w:lang w:val="en-GB"/>
        </w:rPr>
        <w:lastRenderedPageBreak/>
        <w:t>financial assets (qualitative and quantitative easing)</w:t>
      </w:r>
      <w:r w:rsidR="004A0131" w:rsidRPr="000D6202">
        <w:rPr>
          <w:rFonts w:ascii="Times New Roman" w:hAnsi="Times New Roman"/>
          <w:sz w:val="24"/>
          <w:szCs w:val="24"/>
          <w:lang w:val="en-GB"/>
        </w:rPr>
        <w:t>.</w:t>
      </w:r>
      <w:r w:rsidRPr="000D6202">
        <w:rPr>
          <w:rStyle w:val="FootnoteReference"/>
          <w:rFonts w:ascii="Times New Roman" w:hAnsi="Times New Roman"/>
          <w:lang w:val="en-GB"/>
        </w:rPr>
        <w:footnoteReference w:id="3"/>
      </w:r>
      <w:r w:rsidRPr="000D6202">
        <w:rPr>
          <w:rFonts w:ascii="Times New Roman" w:hAnsi="Times New Roman"/>
          <w:sz w:val="24"/>
          <w:szCs w:val="24"/>
          <w:lang w:val="en-GB"/>
        </w:rPr>
        <w:t xml:space="preserve"> Political economists noticed that the manipulation of their balance-sheets became the main policy tool for central bankers (Mehrling, 2010; Buiter and Rahbari, 2012). In turn, the distributional consequences of monetary policy, i.e.</w:t>
      </w:r>
      <w:r w:rsidR="004A0131" w:rsidRPr="000D6202">
        <w:rPr>
          <w:rFonts w:ascii="Times New Roman" w:hAnsi="Times New Roman"/>
          <w:sz w:val="24"/>
          <w:szCs w:val="24"/>
          <w:lang w:val="en-GB"/>
        </w:rPr>
        <w:t>,</w:t>
      </w:r>
      <w:r w:rsidRPr="000D6202">
        <w:rPr>
          <w:rFonts w:ascii="Times New Roman" w:hAnsi="Times New Roman"/>
          <w:sz w:val="24"/>
          <w:szCs w:val="24"/>
          <w:lang w:val="en-GB"/>
        </w:rPr>
        <w:t xml:space="preserve"> its impact on wealth distribution among economic agents, </w:t>
      </w:r>
      <w:r w:rsidR="004A0131" w:rsidRPr="000D6202">
        <w:rPr>
          <w:rFonts w:ascii="Times New Roman" w:hAnsi="Times New Roman"/>
          <w:sz w:val="24"/>
          <w:szCs w:val="24"/>
          <w:lang w:val="en-GB"/>
        </w:rPr>
        <w:t xml:space="preserve">was </w:t>
      </w:r>
      <w:r w:rsidRPr="000D6202">
        <w:rPr>
          <w:rFonts w:ascii="Times New Roman" w:hAnsi="Times New Roman"/>
          <w:sz w:val="24"/>
          <w:szCs w:val="24"/>
          <w:lang w:val="en-GB"/>
        </w:rPr>
        <w:t>exacerbated (Bell et al</w:t>
      </w:r>
      <w:r w:rsidR="004A0131" w:rsidRPr="000D6202">
        <w:rPr>
          <w:rFonts w:ascii="Times New Roman" w:hAnsi="Times New Roman"/>
          <w:sz w:val="24"/>
          <w:szCs w:val="24"/>
          <w:lang w:val="en-GB"/>
        </w:rPr>
        <w:t>.</w:t>
      </w:r>
      <w:r w:rsidRPr="000D6202">
        <w:rPr>
          <w:rFonts w:ascii="Times New Roman" w:hAnsi="Times New Roman"/>
          <w:sz w:val="24"/>
          <w:szCs w:val="24"/>
          <w:lang w:val="en-GB"/>
        </w:rPr>
        <w:t>, 2012).</w:t>
      </w:r>
    </w:p>
    <w:p w14:paraId="14B3951D" w14:textId="78D4B348" w:rsidR="009B3C64" w:rsidRPr="000D6202" w:rsidRDefault="009B3C64" w:rsidP="009B3C64">
      <w:pPr>
        <w:spacing w:afterLines="200" w:after="480"/>
        <w:jc w:val="both"/>
        <w:rPr>
          <w:rFonts w:ascii="Times New Roman" w:hAnsi="Times New Roman"/>
          <w:sz w:val="24"/>
          <w:szCs w:val="24"/>
          <w:lang w:val="en-GB"/>
        </w:rPr>
      </w:pPr>
      <w:r w:rsidRPr="000D6202">
        <w:rPr>
          <w:rFonts w:ascii="Times New Roman" w:hAnsi="Times New Roman"/>
          <w:sz w:val="24"/>
          <w:szCs w:val="24"/>
          <w:lang w:val="en-GB"/>
        </w:rPr>
        <w:t xml:space="preserve">Third, central banks acquired financial supervision competences, which they </w:t>
      </w:r>
      <w:r w:rsidR="004A0131" w:rsidRPr="000D6202">
        <w:rPr>
          <w:rFonts w:ascii="Times New Roman" w:hAnsi="Times New Roman"/>
          <w:sz w:val="24"/>
          <w:szCs w:val="24"/>
          <w:lang w:val="en-GB"/>
        </w:rPr>
        <w:t xml:space="preserve">had been </w:t>
      </w:r>
      <w:r w:rsidRPr="000D6202">
        <w:rPr>
          <w:rFonts w:ascii="Times New Roman" w:hAnsi="Times New Roman"/>
          <w:sz w:val="24"/>
          <w:szCs w:val="24"/>
          <w:lang w:val="en-GB"/>
        </w:rPr>
        <w:t xml:space="preserve">deprived </w:t>
      </w:r>
      <w:r w:rsidR="004A0131" w:rsidRPr="000D6202">
        <w:rPr>
          <w:rFonts w:ascii="Times New Roman" w:hAnsi="Times New Roman"/>
          <w:sz w:val="24"/>
          <w:szCs w:val="24"/>
          <w:lang w:val="en-GB"/>
        </w:rPr>
        <w:t xml:space="preserve">of </w:t>
      </w:r>
      <w:r w:rsidRPr="000D6202">
        <w:rPr>
          <w:rFonts w:ascii="Times New Roman" w:hAnsi="Times New Roman"/>
          <w:sz w:val="24"/>
          <w:szCs w:val="24"/>
          <w:lang w:val="en-GB"/>
        </w:rPr>
        <w:t xml:space="preserve">since the beginning of the 1990’s. In particular, the ECB and the Bank of England </w:t>
      </w:r>
      <w:r w:rsidR="002548CA" w:rsidRPr="000D6202">
        <w:rPr>
          <w:rFonts w:ascii="Times New Roman" w:hAnsi="Times New Roman"/>
          <w:sz w:val="24"/>
          <w:szCs w:val="24"/>
          <w:lang w:val="en-GB"/>
        </w:rPr>
        <w:t xml:space="preserve">(BoE) </w:t>
      </w:r>
      <w:r w:rsidRPr="000D6202">
        <w:rPr>
          <w:rFonts w:ascii="Times New Roman" w:hAnsi="Times New Roman"/>
          <w:sz w:val="24"/>
          <w:szCs w:val="24"/>
          <w:lang w:val="en-GB"/>
        </w:rPr>
        <w:t xml:space="preserve">gained macro and micro supervision competences: they now </w:t>
      </w:r>
      <w:r w:rsidR="004A0131" w:rsidRPr="000D6202">
        <w:rPr>
          <w:rFonts w:ascii="Times New Roman" w:hAnsi="Times New Roman"/>
          <w:sz w:val="24"/>
          <w:szCs w:val="24"/>
          <w:lang w:val="en-GB"/>
        </w:rPr>
        <w:t xml:space="preserve">monitor </w:t>
      </w:r>
      <w:r w:rsidRPr="000D6202">
        <w:rPr>
          <w:rFonts w:ascii="Times New Roman" w:hAnsi="Times New Roman"/>
          <w:sz w:val="24"/>
          <w:szCs w:val="24"/>
          <w:lang w:val="en-GB"/>
        </w:rPr>
        <w:t xml:space="preserve">systemic imbalances and perform on-site inspections within financial institutions. </w:t>
      </w:r>
    </w:p>
    <w:p w14:paraId="486C27D7" w14:textId="4F54DA2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 sum, since 2007, central banks have clearly moved beyond the narrow role assigned to them by the CBI template: their policy goals have</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expanded</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and the instrumentation of their monetary policy has changed. Following these changes, central banks have been increasingly straying into the political realm (Goodhart et al</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2014). Yet, in this new era of central banking, central banks’ interactions with political authorities and other regulatory agencies have not evolved to the same extent </w:t>
      </w:r>
      <w:r w:rsidR="001477A7" w:rsidRPr="000D6202">
        <w:rPr>
          <w:rFonts w:ascii="Times New Roman" w:hAnsi="Times New Roman"/>
          <w:sz w:val="24"/>
          <w:szCs w:val="24"/>
          <w:lang w:val="en-GB"/>
        </w:rPr>
        <w:t xml:space="preserve">as has </w:t>
      </w:r>
      <w:r w:rsidRPr="000D6202">
        <w:rPr>
          <w:rFonts w:ascii="Times New Roman" w:hAnsi="Times New Roman"/>
          <w:sz w:val="24"/>
          <w:szCs w:val="24"/>
          <w:lang w:val="en-GB"/>
        </w:rPr>
        <w:t>the role they play in the economy. According to comparative studies and central bankers themselves, their level of independence has not significantly changed since the crisis (Blinder et al.</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De Haan et al.</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2018</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Schultz 2017). While bearing in mind the discrepancy between the stability of central banks’ autonomy and the extension of the role they play in the economy, we turn now to the two dimensions of their independence.</w:t>
      </w:r>
    </w:p>
    <w:p w14:paraId="784146AF" w14:textId="7777777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p>
    <w:p w14:paraId="7B4190C5" w14:textId="77777777" w:rsidR="009B3C64" w:rsidRPr="000D6202" w:rsidRDefault="009B3C64" w:rsidP="009B3C64">
      <w:pPr>
        <w:pStyle w:val="Heading2"/>
        <w:numPr>
          <w:ilvl w:val="0"/>
          <w:numId w:val="1"/>
        </w:numPr>
        <w:spacing w:before="100" w:beforeAutospacing="1" w:after="100" w:afterAutospacing="1" w:line="288" w:lineRule="auto"/>
        <w:ind w:left="0" w:firstLine="0"/>
        <w:jc w:val="both"/>
        <w:rPr>
          <w:rFonts w:ascii="Times New Roman" w:hAnsi="Times New Roman"/>
          <w:sz w:val="24"/>
          <w:szCs w:val="24"/>
          <w:lang w:val="en-GB"/>
        </w:rPr>
      </w:pPr>
      <w:r w:rsidRPr="000D6202">
        <w:rPr>
          <w:rFonts w:ascii="Times New Roman" w:hAnsi="Times New Roman"/>
          <w:sz w:val="24"/>
          <w:szCs w:val="24"/>
          <w:lang w:val="en-GB"/>
        </w:rPr>
        <w:t xml:space="preserve">The political dimension of central bank independence </w:t>
      </w:r>
    </w:p>
    <w:p w14:paraId="1D5BD6AC" w14:textId="0541EDC0"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Three research agendas have emerged from the puzzling interaction between central banks and political authorities since 2007. Political scientists have explored the changing power relationships between governments and central bankers. Moreover, economists </w:t>
      </w:r>
      <w:r w:rsidR="001477A7" w:rsidRPr="000D6202">
        <w:rPr>
          <w:rFonts w:ascii="Times New Roman" w:hAnsi="Times New Roman"/>
          <w:sz w:val="24"/>
          <w:szCs w:val="24"/>
          <w:lang w:val="en-GB"/>
        </w:rPr>
        <w:t xml:space="preserve">have </w:t>
      </w:r>
      <w:r w:rsidRPr="000D6202">
        <w:rPr>
          <w:rFonts w:ascii="Times New Roman" w:hAnsi="Times New Roman"/>
          <w:sz w:val="24"/>
          <w:szCs w:val="24"/>
          <w:lang w:val="en-GB"/>
        </w:rPr>
        <w:t>argued in favo</w:t>
      </w:r>
      <w:r w:rsidR="00C9735D" w:rsidRPr="000D6202">
        <w:rPr>
          <w:rFonts w:ascii="Times New Roman" w:hAnsi="Times New Roman"/>
          <w:sz w:val="24"/>
          <w:szCs w:val="24"/>
          <w:lang w:val="en-GB"/>
        </w:rPr>
        <w:t>u</w:t>
      </w:r>
      <w:r w:rsidRPr="000D6202">
        <w:rPr>
          <w:rFonts w:ascii="Times New Roman" w:hAnsi="Times New Roman"/>
          <w:sz w:val="24"/>
          <w:szCs w:val="24"/>
          <w:lang w:val="en-GB"/>
        </w:rPr>
        <w:t>r of an increased coordination between central banks and governmental authorities. Finally, researchers in the field of financial ethics have</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criticised the distributive implications of unconventional monetary tools.</w:t>
      </w:r>
    </w:p>
    <w:p w14:paraId="674736C2" w14:textId="77777777" w:rsidR="009B3C64" w:rsidRPr="000D6202" w:rsidRDefault="009B3C64" w:rsidP="009B3C64">
      <w:pPr>
        <w:numPr>
          <w:ilvl w:val="0"/>
          <w:numId w:val="2"/>
        </w:num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Powerful central banks, weak governments?</w:t>
      </w:r>
    </w:p>
    <w:p w14:paraId="320CAC1C" w14:textId="4325D23B"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lastRenderedPageBreak/>
        <w:t xml:space="preserve">While it is undisputed that central banks have increased their power since the crisis, political scientists disagree </w:t>
      </w:r>
      <w:r w:rsidR="001477A7" w:rsidRPr="000D6202">
        <w:rPr>
          <w:rFonts w:ascii="Times New Roman" w:hAnsi="Times New Roman"/>
          <w:sz w:val="24"/>
          <w:szCs w:val="24"/>
          <w:lang w:val="en-GB"/>
        </w:rPr>
        <w:t xml:space="preserve">as to </w:t>
      </w:r>
      <w:r w:rsidRPr="000D6202">
        <w:rPr>
          <w:rFonts w:ascii="Times New Roman" w:hAnsi="Times New Roman"/>
          <w:i/>
          <w:sz w:val="24"/>
          <w:szCs w:val="24"/>
          <w:lang w:val="en-GB"/>
        </w:rPr>
        <w:t>why</w:t>
      </w:r>
      <w:r w:rsidRPr="000D6202">
        <w:rPr>
          <w:rFonts w:ascii="Times New Roman" w:hAnsi="Times New Roman"/>
          <w:sz w:val="24"/>
          <w:szCs w:val="24"/>
          <w:lang w:val="en-GB"/>
        </w:rPr>
        <w:t xml:space="preserve"> and </w:t>
      </w:r>
      <w:r w:rsidRPr="000D6202">
        <w:rPr>
          <w:rFonts w:ascii="Times New Roman" w:hAnsi="Times New Roman"/>
          <w:i/>
          <w:sz w:val="24"/>
          <w:szCs w:val="24"/>
          <w:lang w:val="en-GB"/>
        </w:rPr>
        <w:t>how</w:t>
      </w:r>
      <w:r w:rsidRPr="000D6202">
        <w:rPr>
          <w:rFonts w:ascii="Times New Roman" w:hAnsi="Times New Roman"/>
          <w:sz w:val="24"/>
          <w:szCs w:val="24"/>
          <w:lang w:val="en-GB"/>
        </w:rPr>
        <w:t xml:space="preserve"> this expansion of power occurred and whether central banks overstretched their mandate, particular</w:t>
      </w:r>
      <w:r w:rsidR="001477A7" w:rsidRPr="000D6202">
        <w:rPr>
          <w:rFonts w:ascii="Times New Roman" w:hAnsi="Times New Roman"/>
          <w:sz w:val="24"/>
          <w:szCs w:val="24"/>
          <w:lang w:val="en-GB"/>
        </w:rPr>
        <w:t>ly</w:t>
      </w:r>
      <w:r w:rsidRPr="000D6202">
        <w:rPr>
          <w:rFonts w:ascii="Times New Roman" w:hAnsi="Times New Roman"/>
          <w:sz w:val="24"/>
          <w:szCs w:val="24"/>
          <w:lang w:val="en-GB"/>
        </w:rPr>
        <w:t xml:space="preserve"> in the case of the ECB.</w:t>
      </w:r>
    </w:p>
    <w:p w14:paraId="2B337CC6" w14:textId="475AE875"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First, rational-choice scholars argue that the inability of governmental authorities to act in a swift and decisive way to tame the crisis is the main explanation for the expansion of central banks’ competences. Their argument, which is rooted in the Principal-Agent approach, goes as follows. On the one hand, political leaders </w:t>
      </w:r>
      <w:r w:rsidRPr="000D6202">
        <w:rPr>
          <w:rFonts w:ascii="Times New Roman" w:hAnsi="Times New Roman"/>
          <w:i/>
          <w:sz w:val="24"/>
          <w:szCs w:val="24"/>
          <w:lang w:val="en-GB"/>
        </w:rPr>
        <w:t xml:space="preserve">rationally </w:t>
      </w:r>
      <w:r w:rsidRPr="000D6202">
        <w:rPr>
          <w:rFonts w:ascii="Times New Roman" w:hAnsi="Times New Roman"/>
          <w:sz w:val="24"/>
          <w:szCs w:val="24"/>
          <w:lang w:val="en-GB"/>
        </w:rPr>
        <w:t xml:space="preserve">supported the unconventional measures implemented by central bankers, because direct governmental measures to </w:t>
      </w:r>
      <w:r w:rsidR="001477A7" w:rsidRPr="000D6202">
        <w:rPr>
          <w:rFonts w:ascii="Times New Roman" w:hAnsi="Times New Roman"/>
          <w:sz w:val="24"/>
          <w:szCs w:val="24"/>
          <w:lang w:val="en-GB"/>
        </w:rPr>
        <w:t xml:space="preserve">stabilise </w:t>
      </w:r>
      <w:r w:rsidRPr="000D6202">
        <w:rPr>
          <w:rFonts w:ascii="Times New Roman" w:hAnsi="Times New Roman"/>
          <w:sz w:val="24"/>
          <w:szCs w:val="24"/>
          <w:lang w:val="en-GB"/>
        </w:rPr>
        <w:t xml:space="preserve">the banking system would have been </w:t>
      </w:r>
      <w:r w:rsidR="001477A7" w:rsidRPr="000D6202">
        <w:rPr>
          <w:rFonts w:ascii="Times New Roman" w:hAnsi="Times New Roman"/>
          <w:sz w:val="24"/>
          <w:szCs w:val="24"/>
          <w:lang w:val="en-GB"/>
        </w:rPr>
        <w:t xml:space="preserve">either </w:t>
      </w:r>
      <w:r w:rsidRPr="000D6202">
        <w:rPr>
          <w:rFonts w:ascii="Times New Roman" w:hAnsi="Times New Roman"/>
          <w:sz w:val="24"/>
          <w:szCs w:val="24"/>
          <w:lang w:val="en-GB"/>
        </w:rPr>
        <w:t>unfeasible or more politically costly</w:t>
      </w:r>
      <w:r w:rsidRPr="000D6202">
        <w:rPr>
          <w:rStyle w:val="nlmstring-name"/>
          <w:rFonts w:ascii="Times New Roman" w:hAnsi="Times New Roman"/>
          <w:bCs/>
          <w:sz w:val="24"/>
          <w:szCs w:val="24"/>
          <w:lang w:val="en-GB"/>
        </w:rPr>
        <w:t xml:space="preserve"> (Quaglia and Howarth, 2016</w:t>
      </w:r>
      <w:r w:rsidR="001477A7" w:rsidRPr="000D6202">
        <w:rPr>
          <w:rStyle w:val="nlmstring-name"/>
          <w:rFonts w:ascii="Times New Roman" w:hAnsi="Times New Roman"/>
          <w:bCs/>
          <w:sz w:val="24"/>
          <w:szCs w:val="24"/>
          <w:lang w:val="en-GB"/>
        </w:rPr>
        <w:t xml:space="preserve">; </w:t>
      </w:r>
      <w:r w:rsidRPr="000D6202">
        <w:rPr>
          <w:rFonts w:ascii="Times New Roman" w:hAnsi="Times New Roman"/>
          <w:sz w:val="24"/>
          <w:szCs w:val="24"/>
          <w:lang w:val="en-GB"/>
        </w:rPr>
        <w:t>Binder &amp; Spiegel</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2017</w:t>
      </w:r>
      <w:r w:rsidR="001477A7" w:rsidRPr="000D6202">
        <w:rPr>
          <w:rFonts w:ascii="Times New Roman" w:hAnsi="Times New Roman"/>
          <w:sz w:val="24"/>
          <w:szCs w:val="24"/>
          <w:lang w:val="en-GB"/>
        </w:rPr>
        <w:t xml:space="preserve">; </w:t>
      </w:r>
      <w:r w:rsidRPr="000D6202">
        <w:rPr>
          <w:rStyle w:val="nlmstring-name"/>
          <w:rFonts w:ascii="Times New Roman" w:hAnsi="Times New Roman"/>
          <w:bCs/>
          <w:sz w:val="24"/>
          <w:szCs w:val="24"/>
          <w:lang w:val="en-GB"/>
        </w:rPr>
        <w:t>Schoeller, 2018</w:t>
      </w:r>
      <w:r w:rsidRPr="000D6202">
        <w:rPr>
          <w:rFonts w:ascii="Times New Roman" w:hAnsi="Times New Roman"/>
          <w:sz w:val="24"/>
          <w:szCs w:val="24"/>
          <w:lang w:val="en-GB"/>
        </w:rPr>
        <w:t>). In a similar vein, delegating supervisory competences to central banks was a costless solution and was also likely to facilitate blame-avoidance in case of future financial failures. Moreover, asset purchases</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programmes help to mitigate the recessionary effects induced by insufficient fiscal stimulus (Pontusson</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forthcoming). On the other hand, central bankers were reluctant to implement these measures and to gain supervisory competences because they perceived that their statute of independence was at risk (Hodson</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2011</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Torres</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Lombardi &amp; Moschella</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2014). Only when it became clear that inaction would become more costly in economic and reputational terms</w:t>
      </w:r>
      <w:r w:rsidR="001477A7" w:rsidRPr="000D6202">
        <w:rPr>
          <w:rFonts w:ascii="Times New Roman" w:hAnsi="Times New Roman"/>
          <w:sz w:val="24"/>
          <w:szCs w:val="24"/>
          <w:lang w:val="en-GB"/>
        </w:rPr>
        <w:t xml:space="preserve"> did</w:t>
      </w:r>
      <w:r w:rsidRPr="000D6202">
        <w:rPr>
          <w:rFonts w:ascii="Times New Roman" w:hAnsi="Times New Roman"/>
          <w:sz w:val="24"/>
          <w:szCs w:val="24"/>
          <w:lang w:val="en-GB"/>
        </w:rPr>
        <w:t xml:space="preserve"> central bankers </w:t>
      </w:r>
      <w:r w:rsidR="001477A7" w:rsidRPr="000D6202">
        <w:rPr>
          <w:rFonts w:ascii="Times New Roman" w:hAnsi="Times New Roman"/>
          <w:sz w:val="24"/>
          <w:szCs w:val="24"/>
          <w:lang w:val="en-GB"/>
        </w:rPr>
        <w:t xml:space="preserve">go </w:t>
      </w:r>
      <w:r w:rsidRPr="000D6202">
        <w:rPr>
          <w:rFonts w:ascii="Times New Roman" w:hAnsi="Times New Roman"/>
          <w:sz w:val="24"/>
          <w:szCs w:val="24"/>
          <w:lang w:val="en-GB"/>
        </w:rPr>
        <w:t xml:space="preserve">beyond their narrow role defined by the CBI template. Finally, the rational-choice literature generally found the hypothesis of agency shrinking </w:t>
      </w:r>
      <w:r w:rsidR="001477A7" w:rsidRPr="000D6202">
        <w:rPr>
          <w:rFonts w:ascii="Times New Roman" w:hAnsi="Times New Roman"/>
          <w:sz w:val="24"/>
          <w:szCs w:val="24"/>
          <w:lang w:val="en-GB"/>
        </w:rPr>
        <w:t>to be in</w:t>
      </w:r>
      <w:r w:rsidRPr="000D6202">
        <w:rPr>
          <w:rFonts w:ascii="Times New Roman" w:hAnsi="Times New Roman"/>
          <w:sz w:val="24"/>
          <w:szCs w:val="24"/>
          <w:lang w:val="en-GB"/>
        </w:rPr>
        <w:t>conclusive: central bankers were careful to act in line with governments’ interests</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and their increased accountability efforts gave them “throughput legitimacy</w:t>
      </w:r>
      <w:r w:rsidRPr="000D6202">
        <w:rPr>
          <w:rStyle w:val="FootnoteReference"/>
          <w:rFonts w:ascii="Times New Roman" w:hAnsi="Times New Roman"/>
          <w:lang w:val="en-GB"/>
        </w:rPr>
        <w:footnoteReference w:id="4"/>
      </w:r>
      <w:r w:rsidRPr="000D6202">
        <w:rPr>
          <w:rFonts w:ascii="Times New Roman" w:hAnsi="Times New Roman"/>
          <w:sz w:val="24"/>
          <w:szCs w:val="24"/>
          <w:lang w:val="en-GB"/>
        </w:rPr>
        <w:t>” for their new role (Torres, 2013).</w:t>
      </w:r>
    </w:p>
    <w:p w14:paraId="71468028" w14:textId="66020B9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Second, economic sociologists and political economists underlined that central bankers acted as strategic players</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as they used the crisis as a window of opportunity to expand their power and competences. For example, central bankers relied on the recognition of their high level of financial expertise and their intimate knowledge of financial markets to gain the financial supervision competences they had been deprived of since the 1990´s (McPhilemy</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Conti-Brown</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Howarth &amp; Quaglia</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Chang, 2018). Moreover, this strand of literature explains that the ECB relied on the coercive use of its monetary instruments and its epistemic authority to force long-wanted economic reforms in Eurozone peripheral countries (Fontan</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Streeck</w:t>
      </w:r>
      <w:r w:rsidR="001477A7" w:rsidRPr="000D6202">
        <w:rPr>
          <w:rFonts w:ascii="Times New Roman" w:hAnsi="Times New Roman"/>
          <w:sz w:val="24"/>
          <w:szCs w:val="24"/>
          <w:lang w:val="en-GB"/>
        </w:rPr>
        <w:t>,</w:t>
      </w:r>
      <w:r w:rsidRPr="000D6202">
        <w:rPr>
          <w:rFonts w:ascii="Times New Roman" w:hAnsi="Times New Roman"/>
          <w:sz w:val="24"/>
          <w:szCs w:val="24"/>
          <w:lang w:val="en-GB"/>
        </w:rPr>
        <w:t xml:space="preserve"> 2014</w:t>
      </w:r>
      <w:r w:rsidR="001477A7" w:rsidRPr="000D6202">
        <w:rPr>
          <w:rFonts w:ascii="Times New Roman" w:hAnsi="Times New Roman"/>
          <w:sz w:val="24"/>
          <w:szCs w:val="24"/>
          <w:lang w:val="en-GB"/>
        </w:rPr>
        <w:t xml:space="preserve">; </w:t>
      </w:r>
      <w:r w:rsidRPr="000D6202">
        <w:rPr>
          <w:rFonts w:ascii="Times New Roman" w:hAnsi="Times New Roman"/>
          <w:sz w:val="24"/>
          <w:szCs w:val="24"/>
          <w:lang w:val="en-GB"/>
        </w:rPr>
        <w:t>Vauchez</w:t>
      </w:r>
      <w:r w:rsidR="001477A7" w:rsidRPr="000D6202">
        <w:rPr>
          <w:rFonts w:ascii="Times New Roman" w:hAnsi="Times New Roman"/>
          <w:sz w:val="24"/>
          <w:szCs w:val="24"/>
          <w:lang w:val="en-GB"/>
        </w:rPr>
        <w:t>,</w:t>
      </w:r>
      <w:r w:rsidR="008A4EFA" w:rsidRPr="000D6202">
        <w:rPr>
          <w:rFonts w:ascii="Times New Roman" w:hAnsi="Times New Roman"/>
          <w:sz w:val="24"/>
          <w:szCs w:val="24"/>
          <w:lang w:val="en-GB"/>
        </w:rPr>
        <w:t xml:space="preserve"> 2016</w:t>
      </w:r>
      <w:r w:rsidRPr="000D6202">
        <w:rPr>
          <w:rFonts w:ascii="Times New Roman" w:hAnsi="Times New Roman"/>
          <w:sz w:val="24"/>
          <w:szCs w:val="24"/>
          <w:lang w:val="en-GB"/>
        </w:rPr>
        <w:t>). More specifically, they claim that the ECB influence was conducive to the isolation of the formulation of public policies from electoral outcomes in Eurozone countries. The financial pressures exerted on peripheral Eurozone countries (such as Greece) to force them to accept austerity measures are a good example</w:t>
      </w:r>
      <w:r w:rsidR="008A4EFA" w:rsidRPr="000D6202">
        <w:rPr>
          <w:rFonts w:ascii="Times New Roman" w:hAnsi="Times New Roman"/>
          <w:sz w:val="24"/>
          <w:szCs w:val="24"/>
          <w:lang w:val="en-GB"/>
        </w:rPr>
        <w:t xml:space="preserve"> (Fontan, 2018)</w:t>
      </w:r>
      <w:r w:rsidRPr="000D6202">
        <w:rPr>
          <w:rFonts w:ascii="Times New Roman" w:hAnsi="Times New Roman"/>
          <w:sz w:val="24"/>
          <w:szCs w:val="24"/>
          <w:lang w:val="en-GB"/>
        </w:rPr>
        <w:t>. Finally, these authors often found that the accountability procedures under which central banks operate are not coercive enough to provide sufficient democratic controls over their activities (Best</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841FB9" w:rsidRPr="000D6202">
        <w:rPr>
          <w:rFonts w:ascii="Times New Roman" w:hAnsi="Times New Roman"/>
          <w:sz w:val="24"/>
          <w:szCs w:val="24"/>
          <w:lang w:val="en-GB"/>
        </w:rPr>
        <w:t xml:space="preserve">; </w:t>
      </w:r>
      <w:r w:rsidRPr="000D6202">
        <w:rPr>
          <w:rFonts w:ascii="Times New Roman" w:hAnsi="Times New Roman"/>
          <w:sz w:val="24"/>
          <w:szCs w:val="24"/>
          <w:lang w:val="en-GB"/>
        </w:rPr>
        <w:t>Högenauer &amp; Howarth</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841FB9" w:rsidRPr="000D6202">
        <w:rPr>
          <w:rFonts w:ascii="Times New Roman" w:hAnsi="Times New Roman"/>
          <w:sz w:val="24"/>
          <w:szCs w:val="24"/>
          <w:lang w:val="en-GB"/>
        </w:rPr>
        <w:t xml:space="preserve">; </w:t>
      </w:r>
      <w:r w:rsidRPr="000D6202">
        <w:rPr>
          <w:rFonts w:ascii="Times New Roman" w:hAnsi="Times New Roman"/>
          <w:sz w:val="24"/>
          <w:szCs w:val="24"/>
          <w:lang w:val="en-GB"/>
        </w:rPr>
        <w:t>Collignon &amp; Diesner</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2016, Riles</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2018).</w:t>
      </w:r>
    </w:p>
    <w:p w14:paraId="38AF82A1" w14:textId="0645FE2C"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Third, “EU studies” scholars and central bankers themselves stressed the positive role played by the ECB in fostering European integration and ensuring Eurozone survival. They underline</w:t>
      </w:r>
      <w:r w:rsidR="00841FB9" w:rsidRPr="000D6202">
        <w:rPr>
          <w:rFonts w:ascii="Times New Roman" w:hAnsi="Times New Roman"/>
          <w:sz w:val="24"/>
          <w:szCs w:val="24"/>
          <w:lang w:val="en-GB"/>
        </w:rPr>
        <w:t>d</w:t>
      </w:r>
      <w:r w:rsidRPr="000D6202">
        <w:rPr>
          <w:rFonts w:ascii="Times New Roman" w:hAnsi="Times New Roman"/>
          <w:sz w:val="24"/>
          <w:szCs w:val="24"/>
          <w:lang w:val="en-GB"/>
        </w:rPr>
        <w:t xml:space="preserve"> </w:t>
      </w:r>
      <w:r w:rsidRPr="000D6202">
        <w:rPr>
          <w:rFonts w:ascii="Times New Roman" w:hAnsi="Times New Roman"/>
          <w:sz w:val="24"/>
          <w:szCs w:val="24"/>
          <w:lang w:val="en-GB"/>
        </w:rPr>
        <w:lastRenderedPageBreak/>
        <w:t>that the ECB “political leadership” (Henning</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2015</w:t>
      </w:r>
      <w:r w:rsidR="00841FB9" w:rsidRPr="000D6202">
        <w:rPr>
          <w:rFonts w:ascii="Times New Roman" w:hAnsi="Times New Roman"/>
          <w:sz w:val="24"/>
          <w:szCs w:val="24"/>
          <w:lang w:val="en-GB"/>
        </w:rPr>
        <w:t xml:space="preserve">; </w:t>
      </w:r>
      <w:r w:rsidRPr="000D6202">
        <w:rPr>
          <w:rFonts w:ascii="Times New Roman" w:hAnsi="Times New Roman"/>
          <w:sz w:val="24"/>
          <w:szCs w:val="24"/>
          <w:lang w:val="en-GB"/>
        </w:rPr>
        <w:t>Verdun 2017) and the “charisma” of its chairperson (Tortola &amp; Pansardi</w:t>
      </w:r>
      <w:r w:rsidR="00841FB9" w:rsidRPr="000D6202">
        <w:rPr>
          <w:rFonts w:ascii="Times New Roman" w:hAnsi="Times New Roman"/>
          <w:sz w:val="24"/>
          <w:szCs w:val="24"/>
          <w:lang w:val="en-GB"/>
        </w:rPr>
        <w:t>,</w:t>
      </w:r>
      <w:r w:rsidRPr="000D6202">
        <w:rPr>
          <w:rFonts w:ascii="Times New Roman" w:hAnsi="Times New Roman"/>
          <w:sz w:val="24"/>
          <w:szCs w:val="24"/>
          <w:lang w:val="en-GB"/>
        </w:rPr>
        <w:t xml:space="preserve"> 2018) were decisive </w:t>
      </w:r>
      <w:r w:rsidR="00841FB9" w:rsidRPr="000D6202">
        <w:rPr>
          <w:rFonts w:ascii="Times New Roman" w:hAnsi="Times New Roman"/>
          <w:sz w:val="24"/>
          <w:szCs w:val="24"/>
          <w:lang w:val="en-GB"/>
        </w:rPr>
        <w:t xml:space="preserve">in coordinating </w:t>
      </w:r>
      <w:r w:rsidRPr="000D6202">
        <w:rPr>
          <w:rFonts w:ascii="Times New Roman" w:hAnsi="Times New Roman"/>
          <w:sz w:val="24"/>
          <w:szCs w:val="24"/>
          <w:lang w:val="en-GB"/>
        </w:rPr>
        <w:t xml:space="preserve">EU authorities and </w:t>
      </w:r>
      <w:r w:rsidR="00841FB9" w:rsidRPr="000D6202">
        <w:rPr>
          <w:rFonts w:ascii="Times New Roman" w:hAnsi="Times New Roman"/>
          <w:sz w:val="24"/>
          <w:szCs w:val="24"/>
          <w:lang w:val="en-GB"/>
        </w:rPr>
        <w:t xml:space="preserve">taming </w:t>
      </w:r>
      <w:r w:rsidRPr="000D6202">
        <w:rPr>
          <w:rFonts w:ascii="Times New Roman" w:hAnsi="Times New Roman"/>
          <w:sz w:val="24"/>
          <w:szCs w:val="24"/>
          <w:lang w:val="en-GB"/>
        </w:rPr>
        <w:t>the crisis. Some have even claimed that ECB policies limited social unrest and anti-austerity protests, but their research is flawed with methodological shortcomings</w:t>
      </w:r>
      <w:r w:rsidRPr="000D6202">
        <w:rPr>
          <w:rStyle w:val="FootnoteReference"/>
          <w:rFonts w:ascii="Times New Roman" w:hAnsi="Times New Roman"/>
          <w:lang w:val="en-GB"/>
        </w:rPr>
        <w:footnoteReference w:id="5"/>
      </w:r>
      <w:r w:rsidRPr="000D6202">
        <w:rPr>
          <w:rFonts w:ascii="Times New Roman" w:hAnsi="Times New Roman"/>
          <w:sz w:val="24"/>
          <w:szCs w:val="24"/>
          <w:lang w:val="en-GB"/>
        </w:rPr>
        <w:t xml:space="preserve"> (Genovese at al</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2016). It is peculiar that these analyses strongly echo the claims made by ECB policymakers in top “EU studies” academic journals </w:t>
      </w:r>
      <w:r w:rsidR="00D72F89" w:rsidRPr="000D6202">
        <w:rPr>
          <w:rFonts w:ascii="Times New Roman" w:hAnsi="Times New Roman"/>
          <w:sz w:val="24"/>
          <w:szCs w:val="24"/>
          <w:lang w:val="en-GB"/>
        </w:rPr>
        <w:t xml:space="preserve">a </w:t>
      </w:r>
      <w:r w:rsidRPr="000D6202">
        <w:rPr>
          <w:rFonts w:ascii="Times New Roman" w:hAnsi="Times New Roman"/>
          <w:sz w:val="24"/>
          <w:szCs w:val="24"/>
          <w:lang w:val="en-GB"/>
        </w:rPr>
        <w:t>few years earlier (Drudi et al.</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Salines et al.</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Yiangou et al.</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2013).</w:t>
      </w:r>
    </w:p>
    <w:p w14:paraId="40333D52" w14:textId="4634972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We propose two explanations for the strong divergences in the academic literature on the reasons, mechanisms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and consequences of the ECB action during the crisis. First, prior theoretical assumptions matter: rational choices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scholars consider that actors’ preferences derive from legal contracts and “chicken games”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whereas political economists underline that they are contingent to the co-construction of political and economic fields. Second, scholars’ field</w:t>
      </w:r>
      <w:r w:rsidR="00D72F89" w:rsidRPr="000D6202">
        <w:rPr>
          <w:rFonts w:ascii="Times New Roman" w:hAnsi="Times New Roman"/>
          <w:sz w:val="24"/>
          <w:szCs w:val="24"/>
          <w:lang w:val="en-GB"/>
        </w:rPr>
        <w:t>s</w:t>
      </w:r>
      <w:r w:rsidRPr="000D6202">
        <w:rPr>
          <w:rFonts w:ascii="Times New Roman" w:hAnsi="Times New Roman"/>
          <w:sz w:val="24"/>
          <w:szCs w:val="24"/>
          <w:lang w:val="en-GB"/>
        </w:rPr>
        <w:t xml:space="preserve"> of </w:t>
      </w:r>
      <w:r w:rsidR="00D72F89" w:rsidRPr="000D6202">
        <w:rPr>
          <w:rFonts w:ascii="Times New Roman" w:hAnsi="Times New Roman"/>
          <w:sz w:val="24"/>
          <w:szCs w:val="24"/>
          <w:lang w:val="en-GB"/>
        </w:rPr>
        <w:t xml:space="preserve">specialisation </w:t>
      </w:r>
      <w:r w:rsidRPr="000D6202">
        <w:rPr>
          <w:rFonts w:ascii="Times New Roman" w:hAnsi="Times New Roman"/>
          <w:sz w:val="24"/>
          <w:szCs w:val="24"/>
          <w:lang w:val="en-GB"/>
        </w:rPr>
        <w:t xml:space="preserve">influence their research results, especially in the case of the ECB. EU studies consider banking and financial topics as one of the many public policies fields in which their hypotheses about the nature of European integration should be tested (Smith, 2014). Hence, they are less well equipped than </w:t>
      </w:r>
      <w:r w:rsidR="00D72F89" w:rsidRPr="000D6202">
        <w:rPr>
          <w:rFonts w:ascii="Times New Roman" w:hAnsi="Times New Roman"/>
          <w:sz w:val="24"/>
          <w:szCs w:val="24"/>
          <w:lang w:val="en-GB"/>
        </w:rPr>
        <w:t xml:space="preserve">are </w:t>
      </w:r>
      <w:r w:rsidRPr="000D6202">
        <w:rPr>
          <w:rFonts w:ascii="Times New Roman" w:hAnsi="Times New Roman"/>
          <w:sz w:val="24"/>
          <w:szCs w:val="24"/>
          <w:lang w:val="en-GB"/>
        </w:rPr>
        <w:t>political economists and economist sociologists to grasp the specificity of the financial logics underlying central banks’ policies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and they tend to develop an implicit positive bias in favo</w:t>
      </w:r>
      <w:r w:rsidR="00D72F89" w:rsidRPr="000D6202">
        <w:rPr>
          <w:rFonts w:ascii="Times New Roman" w:hAnsi="Times New Roman"/>
          <w:sz w:val="24"/>
          <w:szCs w:val="24"/>
          <w:lang w:val="en-GB"/>
        </w:rPr>
        <w:t>u</w:t>
      </w:r>
      <w:r w:rsidRPr="000D6202">
        <w:rPr>
          <w:rFonts w:ascii="Times New Roman" w:hAnsi="Times New Roman"/>
          <w:sz w:val="24"/>
          <w:szCs w:val="24"/>
          <w:lang w:val="en-GB"/>
        </w:rPr>
        <w:t xml:space="preserve">r of more integration.  </w:t>
      </w:r>
    </w:p>
    <w:p w14:paraId="08C43CAC" w14:textId="77777777" w:rsidR="009B3C64" w:rsidRPr="000D6202" w:rsidRDefault="009B3C64" w:rsidP="009B3C64">
      <w:pPr>
        <w:numPr>
          <w:ilvl w:val="0"/>
          <w:numId w:val="2"/>
        </w:num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An evolving paradigm?</w:t>
      </w:r>
    </w:p>
    <w:p w14:paraId="6B5849B4" w14:textId="3ECADC3E"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Unconventional monetary policies revived the seemingly old-fashioned Keynesian doctrine, which suggests that public expenditures should support aggregate demand when private demand from households and firms is sluggish. Both post-</w:t>
      </w:r>
      <w:r w:rsidR="00D72F89" w:rsidRPr="000D6202">
        <w:rPr>
          <w:rFonts w:ascii="Times New Roman" w:hAnsi="Times New Roman"/>
          <w:sz w:val="24"/>
          <w:szCs w:val="24"/>
          <w:lang w:val="en-GB"/>
        </w:rPr>
        <w:t xml:space="preserve">Keynesian </w:t>
      </w:r>
      <w:r w:rsidRPr="000D6202">
        <w:rPr>
          <w:rFonts w:ascii="Times New Roman" w:hAnsi="Times New Roman"/>
          <w:sz w:val="24"/>
          <w:szCs w:val="24"/>
          <w:lang w:val="en-GB"/>
        </w:rPr>
        <w:t>and new-</w:t>
      </w:r>
      <w:r w:rsidR="00D72F89" w:rsidRPr="000D6202">
        <w:rPr>
          <w:rFonts w:ascii="Times New Roman" w:hAnsi="Times New Roman"/>
          <w:sz w:val="24"/>
          <w:szCs w:val="24"/>
          <w:lang w:val="en-GB"/>
        </w:rPr>
        <w:t xml:space="preserve">Keynesian </w:t>
      </w:r>
      <w:r w:rsidRPr="000D6202">
        <w:rPr>
          <w:rFonts w:ascii="Times New Roman" w:hAnsi="Times New Roman"/>
          <w:sz w:val="24"/>
          <w:szCs w:val="24"/>
          <w:lang w:val="en-GB"/>
        </w:rPr>
        <w:t>scholars</w:t>
      </w:r>
      <w:r w:rsidR="00D72F89" w:rsidRPr="000D6202">
        <w:rPr>
          <w:rFonts w:ascii="Times New Roman" w:hAnsi="Times New Roman"/>
          <w:sz w:val="24"/>
          <w:szCs w:val="24"/>
          <w:lang w:val="en-GB"/>
        </w:rPr>
        <w:t>,</w:t>
      </w:r>
      <w:r w:rsidRPr="000D6202">
        <w:rPr>
          <w:rStyle w:val="FootnoteReference"/>
          <w:rFonts w:ascii="Times New Roman" w:hAnsi="Times New Roman"/>
          <w:lang w:val="en-GB"/>
        </w:rPr>
        <w:footnoteReference w:id="6"/>
      </w:r>
      <w:r w:rsidRPr="000D6202">
        <w:rPr>
          <w:rFonts w:ascii="Times New Roman" w:hAnsi="Times New Roman"/>
          <w:sz w:val="24"/>
          <w:szCs w:val="24"/>
          <w:lang w:val="en-GB"/>
        </w:rPr>
        <w:t xml:space="preserve"> who are otherwise in strong disagreement, argue that the best combination of policies to address deflation risks is one where the central bank is directly involved in public debt management through large purchases of sovereign debt</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while the government implements a counter-cyclical fiscal policy (IMF</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De Grauwe</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2011</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Ball et al</w:t>
      </w:r>
      <w:r w:rsidR="00D72F89" w:rsidRPr="000D6202">
        <w:rPr>
          <w:rFonts w:ascii="Times New Roman" w:hAnsi="Times New Roman"/>
          <w:sz w:val="24"/>
          <w:szCs w:val="24"/>
          <w:lang w:val="en-GB"/>
        </w:rPr>
        <w:t>.</w:t>
      </w:r>
      <w:r w:rsidRPr="000D6202">
        <w:rPr>
          <w:rFonts w:ascii="Times New Roman" w:hAnsi="Times New Roman"/>
          <w:sz w:val="24"/>
          <w:szCs w:val="24"/>
          <w:lang w:val="en-GB"/>
        </w:rPr>
        <w:t>, 2016: p. 42</w:t>
      </w:r>
      <w:r w:rsidR="00D72F89" w:rsidRPr="000D6202">
        <w:rPr>
          <w:rFonts w:ascii="Times New Roman" w:hAnsi="Times New Roman"/>
          <w:sz w:val="24"/>
          <w:szCs w:val="24"/>
          <w:lang w:val="en-GB"/>
        </w:rPr>
        <w:t>–</w:t>
      </w:r>
      <w:r w:rsidRPr="000D6202">
        <w:rPr>
          <w:rFonts w:ascii="Times New Roman" w:hAnsi="Times New Roman"/>
          <w:sz w:val="24"/>
          <w:szCs w:val="24"/>
          <w:lang w:val="en-GB"/>
        </w:rPr>
        <w:t>44</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Kriesler &amp; Lavoie, 2016; Dow, 2017).</w:t>
      </w:r>
    </w:p>
    <w:p w14:paraId="35107993" w14:textId="7C9B5F9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There is also a wide consensus in the post-crisis economic literature that central banks should be delegated additional financial supervision responsibilities (Goodhart</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2011</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Reinhart &amp; Rogoff</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Bernanke</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Blinder</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2016). According to this research, central bankers have the required expertise, the analytical resources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and the relevant information about banks to endorse financial regulation and supervision responsibilities. Moreover, they are less affected than </w:t>
      </w:r>
      <w:r w:rsidR="00D72F89" w:rsidRPr="000D6202">
        <w:rPr>
          <w:rFonts w:ascii="Times New Roman" w:hAnsi="Times New Roman"/>
          <w:sz w:val="24"/>
          <w:szCs w:val="24"/>
          <w:lang w:val="en-GB"/>
        </w:rPr>
        <w:t xml:space="preserve">are </w:t>
      </w:r>
      <w:r w:rsidRPr="000D6202">
        <w:rPr>
          <w:rFonts w:ascii="Times New Roman" w:hAnsi="Times New Roman"/>
          <w:sz w:val="24"/>
          <w:szCs w:val="24"/>
          <w:lang w:val="en-GB"/>
        </w:rPr>
        <w:t xml:space="preserve">political authorities by economic patriotism and other forms of bias likely to impair the supervision of domestic banking systems (Clift and Woll, 2012). In the case of the ECB, the </w:t>
      </w:r>
      <w:r w:rsidRPr="000D6202">
        <w:rPr>
          <w:rFonts w:ascii="Times New Roman" w:hAnsi="Times New Roman"/>
          <w:sz w:val="24"/>
          <w:szCs w:val="24"/>
          <w:lang w:val="en-GB"/>
        </w:rPr>
        <w:lastRenderedPageBreak/>
        <w:t>delegation was also motivated by functional considerations, coined under the concept of “financial trilemma”, which states that financial stability, cross-border banking activities and national financial policies are incompatible</w:t>
      </w:r>
      <w:r w:rsidRPr="000D6202">
        <w:rPr>
          <w:rStyle w:val="FootnoteReference"/>
          <w:rFonts w:ascii="Times New Roman" w:hAnsi="Times New Roman"/>
          <w:lang w:val="en-GB"/>
        </w:rPr>
        <w:footnoteReference w:id="7"/>
      </w:r>
      <w:r w:rsidRPr="000D6202">
        <w:rPr>
          <w:rFonts w:ascii="Times New Roman" w:hAnsi="Times New Roman"/>
          <w:sz w:val="24"/>
          <w:szCs w:val="24"/>
          <w:lang w:val="en-GB"/>
        </w:rPr>
        <w:t xml:space="preserve"> (Schoenmaker</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2011).</w:t>
      </w:r>
    </w:p>
    <w:p w14:paraId="5414C78E" w14:textId="32FE489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Only ordo-liberal economists</w:t>
      </w:r>
      <w:r w:rsidRPr="000D6202">
        <w:rPr>
          <w:rStyle w:val="FootnoteReference"/>
          <w:rFonts w:ascii="Times New Roman" w:hAnsi="Times New Roman"/>
          <w:lang w:val="en-GB"/>
        </w:rPr>
        <w:footnoteReference w:id="8"/>
      </w:r>
      <w:r w:rsidRPr="000D6202">
        <w:rPr>
          <w:rFonts w:ascii="Times New Roman" w:hAnsi="Times New Roman"/>
          <w:sz w:val="24"/>
          <w:szCs w:val="24"/>
          <w:lang w:val="en-GB"/>
        </w:rPr>
        <w:t xml:space="preserve"> disagree with this new consensus and argue for a </w:t>
      </w:r>
      <w:r w:rsidR="00D72F89" w:rsidRPr="000D6202">
        <w:rPr>
          <w:rFonts w:ascii="Times New Roman" w:hAnsi="Times New Roman"/>
          <w:sz w:val="24"/>
          <w:szCs w:val="24"/>
          <w:lang w:val="en-GB"/>
        </w:rPr>
        <w:t xml:space="preserve">return </w:t>
      </w:r>
      <w:r w:rsidRPr="000D6202">
        <w:rPr>
          <w:rFonts w:ascii="Times New Roman" w:hAnsi="Times New Roman"/>
          <w:sz w:val="24"/>
          <w:szCs w:val="24"/>
          <w:lang w:val="en-GB"/>
        </w:rPr>
        <w:t>to the “narrow” model of central banking (Borio</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2011</w:t>
      </w:r>
      <w:r w:rsidR="00D72F89" w:rsidRPr="000D6202">
        <w:rPr>
          <w:rFonts w:ascii="Times New Roman" w:hAnsi="Times New Roman"/>
          <w:sz w:val="24"/>
          <w:szCs w:val="24"/>
          <w:lang w:val="en-GB"/>
        </w:rPr>
        <w:t xml:space="preserve">; </w:t>
      </w:r>
      <w:r w:rsidRPr="000D6202">
        <w:rPr>
          <w:rFonts w:ascii="Times New Roman" w:hAnsi="Times New Roman"/>
          <w:sz w:val="24"/>
          <w:szCs w:val="24"/>
          <w:lang w:val="en-GB"/>
        </w:rPr>
        <w:t>Issing</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2012; Sinn</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2015). According to them, increased macro-economic coordination and the purchase of sovereign bonds blur the line between fiscal and monetary policies and put central bank independency at risk. Supervisory responsibilities might furthermore </w:t>
      </w:r>
      <w:r w:rsidR="00D72F89" w:rsidRPr="000D6202">
        <w:rPr>
          <w:rFonts w:ascii="Times New Roman" w:hAnsi="Times New Roman"/>
          <w:sz w:val="24"/>
          <w:szCs w:val="24"/>
          <w:lang w:val="en-GB"/>
        </w:rPr>
        <w:t xml:space="preserve">jeopardise </w:t>
      </w:r>
      <w:r w:rsidRPr="000D6202">
        <w:rPr>
          <w:rFonts w:ascii="Times New Roman" w:hAnsi="Times New Roman"/>
          <w:sz w:val="24"/>
          <w:szCs w:val="24"/>
          <w:lang w:val="en-GB"/>
        </w:rPr>
        <w:t>the pursuit of price stability</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as </w:t>
      </w:r>
      <w:r w:rsidR="00D72F89" w:rsidRPr="000D6202">
        <w:rPr>
          <w:rFonts w:ascii="Times New Roman" w:hAnsi="Times New Roman"/>
          <w:sz w:val="24"/>
          <w:szCs w:val="24"/>
          <w:lang w:val="en-GB"/>
        </w:rPr>
        <w:t xml:space="preserve">they </w:t>
      </w:r>
      <w:r w:rsidRPr="000D6202">
        <w:rPr>
          <w:rFonts w:ascii="Times New Roman" w:hAnsi="Times New Roman"/>
          <w:sz w:val="24"/>
          <w:szCs w:val="24"/>
          <w:lang w:val="en-GB"/>
        </w:rPr>
        <w:t>could increase conflicts of interest between both objectives, reputational risks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and interactions with political authorities.</w:t>
      </w:r>
    </w:p>
    <w:p w14:paraId="3C38738B" w14:textId="17990D0E"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However, for most economists, these fears are not grounded as long as central banks remain legally independent from the government (Posen</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2010). On the one hand, they believe that increased ex-post and ex-ante channels of communication with governments and accountability procedures with parliamentary authorities are “inevitable and desirable” for controlling the expansion of central banks´ responsibilities (Blinder, 2013). On the other hand, they set limits for the integration of additional objectives within central banks. Indeed, in this predominant view, central banks should not play any role in the formulation of budget and fiscal policies</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and they should not </w:t>
      </w:r>
      <w:r w:rsidR="00D72F89" w:rsidRPr="000D6202">
        <w:rPr>
          <w:rFonts w:ascii="Times New Roman" w:hAnsi="Times New Roman"/>
          <w:sz w:val="24"/>
          <w:szCs w:val="24"/>
          <w:lang w:val="en-GB"/>
        </w:rPr>
        <w:t xml:space="preserve">centralise </w:t>
      </w:r>
      <w:r w:rsidRPr="000D6202">
        <w:rPr>
          <w:rFonts w:ascii="Times New Roman" w:hAnsi="Times New Roman"/>
          <w:sz w:val="24"/>
          <w:szCs w:val="24"/>
          <w:lang w:val="en-GB"/>
        </w:rPr>
        <w:t>all the tasks of financial supervision and regulation</w:t>
      </w:r>
      <w:r w:rsidR="00D72F89" w:rsidRPr="000D6202">
        <w:rPr>
          <w:rFonts w:ascii="Times New Roman" w:hAnsi="Times New Roman"/>
          <w:sz w:val="24"/>
          <w:szCs w:val="24"/>
          <w:lang w:val="en-GB"/>
        </w:rPr>
        <w:t>,</w:t>
      </w:r>
      <w:r w:rsidRPr="000D6202">
        <w:rPr>
          <w:rFonts w:ascii="Times New Roman" w:hAnsi="Times New Roman"/>
          <w:sz w:val="24"/>
          <w:szCs w:val="24"/>
          <w:lang w:val="en-GB"/>
        </w:rPr>
        <w:t xml:space="preserve"> since some of them are highly </w:t>
      </w:r>
      <w:r w:rsidR="00D72F89" w:rsidRPr="000D6202">
        <w:rPr>
          <w:rFonts w:ascii="Times New Roman" w:hAnsi="Times New Roman"/>
          <w:sz w:val="24"/>
          <w:szCs w:val="24"/>
          <w:lang w:val="en-GB"/>
        </w:rPr>
        <w:t xml:space="preserve">politicised </w:t>
      </w:r>
      <w:r w:rsidRPr="000D6202">
        <w:rPr>
          <w:rFonts w:ascii="Times New Roman" w:hAnsi="Times New Roman"/>
          <w:sz w:val="24"/>
          <w:szCs w:val="24"/>
          <w:lang w:val="en-GB"/>
        </w:rPr>
        <w:t>(Ball et al., 2016). For example, deciding which financial institutions should benefit from a bailout financed by taxpayers is a highly political process that is seen to require a management by governmental authorities.</w:t>
      </w:r>
    </w:p>
    <w:p w14:paraId="5CB576FB" w14:textId="77777777" w:rsidR="009B3C64" w:rsidRPr="000D6202" w:rsidRDefault="009B3C64" w:rsidP="009B3C64">
      <w:pPr>
        <w:numPr>
          <w:ilvl w:val="0"/>
          <w:numId w:val="2"/>
        </w:num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distributive consequences of monetary policy</w:t>
      </w:r>
    </w:p>
    <w:p w14:paraId="38A27312" w14:textId="2D135A40"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There is an overwhelming consensus among central bankers and economists that </w:t>
      </w:r>
      <w:r w:rsidR="0014650C" w:rsidRPr="000D6202">
        <w:rPr>
          <w:rFonts w:ascii="Times New Roman" w:hAnsi="Times New Roman"/>
          <w:sz w:val="24"/>
          <w:szCs w:val="24"/>
          <w:lang w:val="en-GB"/>
        </w:rPr>
        <w:t>asset purchasing</w:t>
      </w:r>
      <w:r w:rsidRPr="000D6202">
        <w:rPr>
          <w:rFonts w:ascii="Times New Roman" w:hAnsi="Times New Roman"/>
          <w:sz w:val="24"/>
          <w:szCs w:val="24"/>
          <w:lang w:val="en-GB"/>
        </w:rPr>
        <w:t xml:space="preserve"> programmes have increased wealth inequalities</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since they augmented the wealth of asset-owners, wh</w:t>
      </w:r>
      <w:r w:rsidR="00FC1E23" w:rsidRPr="000D6202">
        <w:rPr>
          <w:rFonts w:ascii="Times New Roman" w:hAnsi="Times New Roman"/>
          <w:sz w:val="24"/>
          <w:szCs w:val="24"/>
          <w:lang w:val="en-GB"/>
        </w:rPr>
        <w:t>o</w:t>
      </w:r>
      <w:r w:rsidRPr="000D6202">
        <w:rPr>
          <w:rFonts w:ascii="Times New Roman" w:hAnsi="Times New Roman"/>
          <w:sz w:val="24"/>
          <w:szCs w:val="24"/>
          <w:lang w:val="en-GB"/>
        </w:rPr>
        <w:t xml:space="preserve"> are already concentrated at the top end of wealth distributions (Bell et al.</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White</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Domanski et al.</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ECB</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Montecino &amp; Epstein</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2015). Building on a comparative discursive analysis, Fontan et al. (2016) have compiled the justifications put forward by central bankers and found them wanting: other policy alternatives were not seriously considered</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and it was not realistic to rely on governmental redistributive taxation to correct these inequalities</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since it is undermined by conditions of capital mobility. These distributive consequences challenge normative models of liberal democracies insofar as the policies of unchecked independent agencies are not supposed to create winners and losers in an arbitrary way (Heritier &amp; Lehmkuhl</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2011). In fact, the reinforcement of economic inequalities in this new age of central banking confirms the research results of the literature focusing on the crises of capitalism: the political answer to the crisis has been interpreted as reflecting a growing </w:t>
      </w:r>
      <w:r w:rsidRPr="000D6202">
        <w:rPr>
          <w:rFonts w:ascii="Times New Roman" w:hAnsi="Times New Roman"/>
          <w:sz w:val="24"/>
          <w:szCs w:val="24"/>
          <w:lang w:val="en-GB"/>
        </w:rPr>
        <w:lastRenderedPageBreak/>
        <w:t>influence of the “market constituency” at the expense of the “people constituency” (Streeck &amp; Schäffer</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2013</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Green &amp; Lavery</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2015).</w:t>
      </w:r>
    </w:p>
    <w:p w14:paraId="4B2544FE" w14:textId="0A86500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Prolonging these financial ethics</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concerns, Fontan (2017) argues that central banks’ purchases of corporate securities also entail distributional implications to the extent that they distort competition between firms</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the targeted companies are advantaged over their competitors since they benefit from lower funding costs and can more easily engage in mergers and acquisitions. </w:t>
      </w:r>
      <w:r w:rsidR="00FC1E23" w:rsidRPr="000D6202">
        <w:rPr>
          <w:rFonts w:ascii="Times New Roman" w:hAnsi="Times New Roman"/>
          <w:sz w:val="24"/>
          <w:szCs w:val="24"/>
          <w:lang w:val="en-GB"/>
        </w:rPr>
        <w:t>T</w:t>
      </w:r>
      <w:r w:rsidRPr="000D6202">
        <w:rPr>
          <w:rFonts w:ascii="Times New Roman" w:hAnsi="Times New Roman"/>
          <w:sz w:val="24"/>
          <w:szCs w:val="24"/>
          <w:lang w:val="en-GB"/>
        </w:rPr>
        <w:t xml:space="preserve">o address these critics, central bankers have followed a </w:t>
      </w:r>
      <w:r w:rsidR="00FC1E23" w:rsidRPr="000D6202">
        <w:rPr>
          <w:rFonts w:ascii="Times New Roman" w:hAnsi="Times New Roman"/>
          <w:sz w:val="24"/>
          <w:szCs w:val="24"/>
          <w:lang w:val="en-GB"/>
        </w:rPr>
        <w:t xml:space="preserve">depoliticisation </w:t>
      </w:r>
      <w:r w:rsidRPr="000D6202">
        <w:rPr>
          <w:rFonts w:ascii="Times New Roman" w:hAnsi="Times New Roman"/>
          <w:sz w:val="24"/>
          <w:szCs w:val="24"/>
          <w:lang w:val="en-GB"/>
        </w:rPr>
        <w:t xml:space="preserve">strategy in the instrumentation of their monetary policy. They claim that their purchases are “market neutral” and do not advantage specific firms because they reflect the composition of the whole corporate bonds market. Yet, the firms </w:t>
      </w:r>
      <w:r w:rsidR="00FC1E23" w:rsidRPr="000D6202">
        <w:rPr>
          <w:rFonts w:ascii="Times New Roman" w:hAnsi="Times New Roman"/>
          <w:sz w:val="24"/>
          <w:szCs w:val="24"/>
          <w:lang w:val="en-GB"/>
        </w:rPr>
        <w:t xml:space="preserve">that </w:t>
      </w:r>
      <w:r w:rsidRPr="000D6202">
        <w:rPr>
          <w:rFonts w:ascii="Times New Roman" w:hAnsi="Times New Roman"/>
          <w:sz w:val="24"/>
          <w:szCs w:val="24"/>
          <w:lang w:val="en-GB"/>
        </w:rPr>
        <w:t>are most active on the bond market, that is, multinational companies engaged in carbon</w:t>
      </w:r>
      <w:r w:rsidR="00FC1E23" w:rsidRPr="000D6202">
        <w:rPr>
          <w:rFonts w:ascii="Times New Roman" w:hAnsi="Times New Roman"/>
          <w:sz w:val="24"/>
          <w:szCs w:val="24"/>
          <w:lang w:val="en-GB"/>
        </w:rPr>
        <w:t>-</w:t>
      </w:r>
      <w:r w:rsidRPr="000D6202">
        <w:rPr>
          <w:rFonts w:ascii="Times New Roman" w:hAnsi="Times New Roman"/>
          <w:sz w:val="24"/>
          <w:szCs w:val="24"/>
          <w:lang w:val="en-GB"/>
        </w:rPr>
        <w:t>intensive activities, need high levels of external financing (Matikainen et al., 2016</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CEO, 2016). Hence, they are advantaged over their competitors. </w:t>
      </w:r>
    </w:p>
    <w:p w14:paraId="6FD49ABD" w14:textId="5DB8157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 sum, researchers agree that</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since the crisis, central banks’ responsibilities have expanded</w:t>
      </w:r>
      <w:r w:rsidR="00FC1E23" w:rsidRPr="000D6202">
        <w:rPr>
          <w:rFonts w:ascii="Times New Roman" w:hAnsi="Times New Roman"/>
          <w:sz w:val="24"/>
          <w:szCs w:val="24"/>
          <w:lang w:val="en-GB"/>
        </w:rPr>
        <w:t>,</w:t>
      </w:r>
      <w:r w:rsidRPr="000D6202">
        <w:rPr>
          <w:rFonts w:ascii="Times New Roman" w:hAnsi="Times New Roman"/>
          <w:sz w:val="24"/>
          <w:szCs w:val="24"/>
          <w:lang w:val="en-GB"/>
        </w:rPr>
        <w:t xml:space="preserve"> while their level of independence </w:t>
      </w:r>
      <w:r w:rsidR="00200073" w:rsidRPr="000D6202">
        <w:rPr>
          <w:rFonts w:ascii="Times New Roman" w:hAnsi="Times New Roman"/>
          <w:sz w:val="24"/>
          <w:szCs w:val="24"/>
          <w:lang w:val="en-GB"/>
        </w:rPr>
        <w:t>towards</w:t>
      </w:r>
      <w:r w:rsidR="00FC1E23"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political authorities </w:t>
      </w:r>
      <w:r w:rsidR="00FC1E23" w:rsidRPr="000D6202">
        <w:rPr>
          <w:rFonts w:ascii="Times New Roman" w:hAnsi="Times New Roman"/>
          <w:sz w:val="24"/>
          <w:szCs w:val="24"/>
          <w:lang w:val="en-GB"/>
        </w:rPr>
        <w:t xml:space="preserve">has </w:t>
      </w:r>
      <w:r w:rsidRPr="000D6202">
        <w:rPr>
          <w:rFonts w:ascii="Times New Roman" w:hAnsi="Times New Roman"/>
          <w:sz w:val="24"/>
          <w:szCs w:val="24"/>
          <w:lang w:val="en-GB"/>
        </w:rPr>
        <w:t xml:space="preserve">remained high. The academic consensus stops </w:t>
      </w:r>
      <w:r w:rsidR="008D6A0F" w:rsidRPr="000D6202">
        <w:rPr>
          <w:rFonts w:ascii="Times New Roman" w:hAnsi="Times New Roman"/>
          <w:sz w:val="24"/>
          <w:szCs w:val="24"/>
          <w:lang w:val="en-GB"/>
        </w:rPr>
        <w:t>t</w:t>
      </w:r>
      <w:r w:rsidRPr="000D6202">
        <w:rPr>
          <w:rFonts w:ascii="Times New Roman" w:hAnsi="Times New Roman"/>
          <w:sz w:val="24"/>
          <w:szCs w:val="24"/>
          <w:lang w:val="en-GB"/>
        </w:rPr>
        <w:t>here, as there is a high level of disagreement on the explaining factors and the desirability of this new era of central banking. Extrapolating from current empirical developments and the state of the literature, we outline three challenging research agendas on the political side of central bank independence.</w:t>
      </w:r>
    </w:p>
    <w:p w14:paraId="4A413607" w14:textId="65F3B85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First, the post-democracy and depolitici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research agendas should focus more on central banks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policies, which are left out </w:t>
      </w:r>
      <w:r w:rsidR="008D6A0F" w:rsidRPr="000D6202">
        <w:rPr>
          <w:rFonts w:ascii="Times New Roman" w:hAnsi="Times New Roman"/>
          <w:sz w:val="24"/>
          <w:szCs w:val="24"/>
          <w:lang w:val="en-GB"/>
        </w:rPr>
        <w:t>of the</w:t>
      </w:r>
      <w:r w:rsidRPr="000D6202">
        <w:rPr>
          <w:rFonts w:ascii="Times New Roman" w:hAnsi="Times New Roman"/>
          <w:sz w:val="24"/>
          <w:szCs w:val="24"/>
          <w:lang w:val="en-GB"/>
        </w:rPr>
        <w:t xml:space="preserve"> analysis </w:t>
      </w:r>
      <w:r w:rsidR="008D6A0F" w:rsidRPr="000D6202">
        <w:rPr>
          <w:rFonts w:ascii="Times New Roman" w:hAnsi="Times New Roman"/>
          <w:sz w:val="24"/>
          <w:szCs w:val="24"/>
          <w:lang w:val="en-GB"/>
        </w:rPr>
        <w:t xml:space="preserve">to a slight degree </w:t>
      </w:r>
      <w:r w:rsidRPr="000D6202">
        <w:rPr>
          <w:rFonts w:ascii="Times New Roman" w:hAnsi="Times New Roman"/>
          <w:sz w:val="24"/>
          <w:szCs w:val="24"/>
          <w:lang w:val="en-GB"/>
        </w:rPr>
        <w:t>(Crouch</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2004</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Hay</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2007). For example, the </w:t>
      </w:r>
      <w:r w:rsidR="008D6A0F" w:rsidRPr="000D6202">
        <w:rPr>
          <w:rFonts w:ascii="Times New Roman" w:hAnsi="Times New Roman"/>
          <w:sz w:val="24"/>
          <w:szCs w:val="24"/>
          <w:lang w:val="en-GB"/>
        </w:rPr>
        <w:t xml:space="preserve">depoliticisation </w:t>
      </w:r>
      <w:r w:rsidRPr="000D6202">
        <w:rPr>
          <w:rFonts w:ascii="Times New Roman" w:hAnsi="Times New Roman"/>
          <w:sz w:val="24"/>
          <w:szCs w:val="24"/>
          <w:lang w:val="en-GB"/>
        </w:rPr>
        <w:t>strategies conducted by central bankers in the instrumentation of their monetary policies and their coercive impact on democratic procedures follow similar political patterns to these observed in the implementation of austerity measures.</w:t>
      </w:r>
    </w:p>
    <w:p w14:paraId="42C27DA3" w14:textId="2F78C3EF"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Second, designing a systematic comparative study on the evolution of democratic controls over central banks would inform the research on the politics of independent regulatory agencies. Indeed, courts of justice, parliaments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and governments have different levers to influence the formulation of central banks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policies (mandate change, judicial controls, nomination procedures, parliamentary hearings). Comparing how these authorities use their levers in different currency areas would help to outline the causal factors informing the evolution of these democratic controls. In particular, researchers could pay close attention to the nominations of Federal Reserve banks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presidents under the new Dodd-Frank Act</w:t>
      </w:r>
      <w:r w:rsidR="008D6A0F" w:rsidRPr="000D6202">
        <w:rPr>
          <w:rFonts w:ascii="Times New Roman" w:hAnsi="Times New Roman"/>
          <w:sz w:val="24"/>
          <w:szCs w:val="24"/>
          <w:lang w:val="en-GB"/>
        </w:rPr>
        <w:t>, which</w:t>
      </w:r>
      <w:r w:rsidRPr="000D6202">
        <w:rPr>
          <w:rFonts w:ascii="Times New Roman" w:hAnsi="Times New Roman"/>
          <w:sz w:val="24"/>
          <w:szCs w:val="24"/>
          <w:lang w:val="en-GB"/>
        </w:rPr>
        <w:t xml:space="preserve"> forbids the participation of financiers </w:t>
      </w:r>
      <w:r w:rsidR="008D6A0F" w:rsidRPr="000D6202">
        <w:rPr>
          <w:rFonts w:ascii="Times New Roman" w:hAnsi="Times New Roman"/>
          <w:sz w:val="24"/>
          <w:szCs w:val="24"/>
          <w:lang w:val="en-GB"/>
        </w:rPr>
        <w:t xml:space="preserve">in </w:t>
      </w:r>
      <w:r w:rsidRPr="000D6202">
        <w:rPr>
          <w:rFonts w:ascii="Times New Roman" w:hAnsi="Times New Roman"/>
          <w:sz w:val="24"/>
          <w:szCs w:val="24"/>
          <w:lang w:val="en-GB"/>
        </w:rPr>
        <w:t>this process (Conti-Brown</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2016). </w:t>
      </w:r>
    </w:p>
    <w:p w14:paraId="3A5AC0EA" w14:textId="7777777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Third, economists and political philosophers need to take into account the distributive consequences of monetary policy when advocating macro-economic institutional frameworks. In particular, the combination of austerity measures and monetary expansion fuel economic inequalities to a degree rarely seen since the rise of capitalist societies (Alvaredo et al., 2018). Since inequalities were already too high before the crisis against the standards of most theories </w:t>
      </w:r>
      <w:r w:rsidRPr="000D6202">
        <w:rPr>
          <w:rFonts w:ascii="Times New Roman" w:hAnsi="Times New Roman"/>
          <w:sz w:val="24"/>
          <w:szCs w:val="24"/>
          <w:lang w:val="en-GB"/>
        </w:rPr>
        <w:lastRenderedPageBreak/>
        <w:t>of justice, the definition of fairer monetary tools to answer the next crisis in a less problematic way represents a major challenge to academics.</w:t>
      </w:r>
    </w:p>
    <w:p w14:paraId="46A79DA9" w14:textId="77777777"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p>
    <w:p w14:paraId="27582F44" w14:textId="77777777" w:rsidR="009B3C64" w:rsidRPr="000D6202" w:rsidRDefault="009B3C64" w:rsidP="009B3C64">
      <w:pPr>
        <w:pStyle w:val="Heading2"/>
        <w:numPr>
          <w:ilvl w:val="0"/>
          <w:numId w:val="1"/>
        </w:numPr>
        <w:spacing w:before="100" w:beforeAutospacing="1" w:after="100" w:afterAutospacing="1" w:line="288" w:lineRule="auto"/>
        <w:ind w:left="0" w:firstLine="0"/>
        <w:jc w:val="both"/>
        <w:rPr>
          <w:rFonts w:ascii="Times New Roman" w:hAnsi="Times New Roman"/>
          <w:sz w:val="24"/>
          <w:szCs w:val="24"/>
          <w:lang w:val="en-GB"/>
        </w:rPr>
      </w:pPr>
      <w:r w:rsidRPr="000D6202">
        <w:rPr>
          <w:rFonts w:ascii="Times New Roman" w:hAnsi="Times New Roman"/>
          <w:sz w:val="24"/>
          <w:szCs w:val="24"/>
          <w:lang w:val="en-GB"/>
        </w:rPr>
        <w:t>The other side of independence: financial power and central banking</w:t>
      </w:r>
    </w:p>
    <w:p w14:paraId="7D1A197E" w14:textId="121F4961"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Before the 2007 crisis, concerns </w:t>
      </w:r>
      <w:r w:rsidR="008D6A0F" w:rsidRPr="000D6202">
        <w:rPr>
          <w:rFonts w:ascii="Times New Roman" w:hAnsi="Times New Roman"/>
          <w:sz w:val="24"/>
          <w:szCs w:val="24"/>
          <w:lang w:val="en-GB"/>
        </w:rPr>
        <w:t xml:space="preserve">about </w:t>
      </w:r>
      <w:r w:rsidRPr="000D6202">
        <w:rPr>
          <w:rFonts w:ascii="Times New Roman" w:hAnsi="Times New Roman"/>
          <w:sz w:val="24"/>
          <w:szCs w:val="24"/>
          <w:lang w:val="en-GB"/>
        </w:rPr>
        <w:t>the other side of central bank independence, namely its isolation from financial market pressures in the pursuit of its policy objectives, were put on the back burner. Yet, the process of financiali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w:t>
      </w:r>
      <w:r w:rsidR="008D6A0F" w:rsidRPr="000D6202">
        <w:rPr>
          <w:rFonts w:ascii="Times New Roman" w:hAnsi="Times New Roman"/>
          <w:sz w:val="24"/>
          <w:szCs w:val="24"/>
          <w:lang w:val="en-GB"/>
        </w:rPr>
        <w:t>,</w:t>
      </w:r>
      <w:r w:rsidRPr="000D6202">
        <w:rPr>
          <w:rStyle w:val="FootnoteReference"/>
          <w:rFonts w:ascii="Times New Roman" w:hAnsi="Times New Roman"/>
          <w:lang w:val="en-GB"/>
        </w:rPr>
        <w:footnoteReference w:id="9"/>
      </w:r>
      <w:r w:rsidRPr="000D6202">
        <w:rPr>
          <w:rFonts w:ascii="Times New Roman" w:hAnsi="Times New Roman"/>
          <w:sz w:val="24"/>
          <w:szCs w:val="24"/>
          <w:lang w:val="en-GB"/>
        </w:rPr>
        <w:t xml:space="preserve"> which is the most important economic change since at least the 1980’s, has affected the relationship between central banks and financial markets in a paradoxical fashion (Dyson, 2009</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Krippner, 2012).</w:t>
      </w:r>
    </w:p>
    <w:p w14:paraId="6D50F626" w14:textId="554ED14C"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On the one hand, financiali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empowers central bankers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because their knowledge of financial markets and their ability to alleviate market pressures become</w:t>
      </w:r>
      <w:r w:rsidR="008D6A0F" w:rsidRPr="000D6202">
        <w:rPr>
          <w:rFonts w:ascii="Times New Roman" w:hAnsi="Times New Roman"/>
          <w:sz w:val="24"/>
          <w:szCs w:val="24"/>
          <w:lang w:val="en-GB"/>
        </w:rPr>
        <w:t>s</w:t>
      </w:r>
      <w:r w:rsidRPr="000D6202">
        <w:rPr>
          <w:rFonts w:ascii="Times New Roman" w:hAnsi="Times New Roman"/>
          <w:sz w:val="24"/>
          <w:szCs w:val="24"/>
          <w:lang w:val="en-GB"/>
        </w:rPr>
        <w:t xml:space="preserve"> more important in the eyes of policymakers. On the other hand, larger, interconnected</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and highly leveraged financial systems threaten the pursuit of financial stability objectives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because systemic financial crises become more likely. In light of this ambiguous relationship, economy sociologists and critical political economy researchers study whether central banks are under financial dominance, which “obtains when the attainment of [their] policy goals is compromised by some contingent features of financial markets or patterns of behaviour of market participants” (Dietsch et al.</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2018, p. 63). More precisely, this literature has identified three sources of power wielded by the financial sector over central banks: instrumental power, structural power</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and infrastructural power.</w:t>
      </w:r>
    </w:p>
    <w:p w14:paraId="560007EA" w14:textId="77777777" w:rsidR="009B3C64" w:rsidRPr="000D6202" w:rsidRDefault="009B3C64" w:rsidP="009B3C64">
      <w:pPr>
        <w:numPr>
          <w:ilvl w:val="0"/>
          <w:numId w:val="3"/>
        </w:numPr>
        <w:spacing w:before="100" w:beforeAutospacing="1" w:after="100" w:afterAutospacing="1" w:line="288" w:lineRule="auto"/>
        <w:jc w:val="both"/>
        <w:rPr>
          <w:rFonts w:ascii="Times New Roman" w:hAnsi="Times New Roman"/>
          <w:i/>
          <w:sz w:val="24"/>
          <w:szCs w:val="24"/>
          <w:lang w:val="en-GB"/>
        </w:rPr>
      </w:pPr>
      <w:r w:rsidRPr="000D6202">
        <w:rPr>
          <w:rFonts w:ascii="Times New Roman" w:hAnsi="Times New Roman"/>
          <w:i/>
          <w:sz w:val="24"/>
          <w:szCs w:val="24"/>
          <w:lang w:val="en-GB"/>
        </w:rPr>
        <w:t>Capture</w:t>
      </w:r>
    </w:p>
    <w:p w14:paraId="5A3C7C70" w14:textId="16F7BFED"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Instrumental power is related to the concept of regulatory capture, which occurs when an industry manages to influence its regulator for its own purposes (Stigler</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1971:4). From an historical perspective, the question of capture emerged from the institutional origins of central banks, which used to be private banks with private equity. For example, the Fed faced risks of financial capture at its inception (Bordo &amp; Roberds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2013).</w:t>
      </w:r>
    </w:p>
    <w:p w14:paraId="5D7ECC1F" w14:textId="12A012DB"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The financial crisis has revived academic attention </w:t>
      </w:r>
      <w:r w:rsidR="008D6A0F" w:rsidRPr="000D6202">
        <w:rPr>
          <w:rFonts w:ascii="Times New Roman" w:hAnsi="Times New Roman"/>
          <w:sz w:val="24"/>
          <w:szCs w:val="24"/>
          <w:lang w:val="en-GB"/>
        </w:rPr>
        <w:t xml:space="preserve">on </w:t>
      </w:r>
      <w:r w:rsidRPr="000D6202">
        <w:rPr>
          <w:rFonts w:ascii="Times New Roman" w:hAnsi="Times New Roman"/>
          <w:sz w:val="24"/>
          <w:szCs w:val="24"/>
          <w:lang w:val="en-GB"/>
        </w:rPr>
        <w:t>the issue of central bank capture against the background of the new financial stability goal assigned to central banks (</w:t>
      </w:r>
      <w:r w:rsidRPr="000D6202">
        <w:rPr>
          <w:rFonts w:ascii="Times New Roman" w:hAnsi="Times New Roman"/>
          <w:i/>
          <w:sz w:val="24"/>
          <w:szCs w:val="24"/>
          <w:lang w:val="en-GB"/>
        </w:rPr>
        <w:t>Competition and Change</w:t>
      </w:r>
      <w:r w:rsidRPr="000D6202">
        <w:rPr>
          <w:rFonts w:ascii="Times New Roman" w:hAnsi="Times New Roman"/>
          <w:sz w:val="24"/>
          <w:szCs w:val="24"/>
          <w:lang w:val="en-GB"/>
        </w:rPr>
        <w:t>, special issue forthcoming; Johnson and Kwak</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2010</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Canova</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2011</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Boyer &amp; Ponce</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Palley</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2013). Since central banks exert stronger influence on the activities of </w:t>
      </w:r>
      <w:r w:rsidR="008D6A0F" w:rsidRPr="000D6202">
        <w:rPr>
          <w:rFonts w:ascii="Times New Roman" w:hAnsi="Times New Roman"/>
          <w:sz w:val="24"/>
          <w:szCs w:val="24"/>
          <w:lang w:val="en-GB"/>
        </w:rPr>
        <w:t xml:space="preserve">the </w:t>
      </w:r>
      <w:r w:rsidRPr="000D6202">
        <w:rPr>
          <w:rFonts w:ascii="Times New Roman" w:hAnsi="Times New Roman"/>
          <w:sz w:val="24"/>
          <w:szCs w:val="24"/>
          <w:lang w:val="en-GB"/>
        </w:rPr>
        <w:t>banking industry, the latter has more incentives to seek to capture them. As stressed by Buiter (2008) and Couppey-Soubeyran (2015), regulatory capture takes three different forms: direct capture, indirect capture, and cognitive capture.</w:t>
      </w:r>
    </w:p>
    <w:p w14:paraId="6469AFA1" w14:textId="3CB07450"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lastRenderedPageBreak/>
        <w:t>First, risks of direct capture arise when financial lobbies manage to design their own regulations. For example, during the 1990s, the lobbying of the financial industry was so influent</w:t>
      </w:r>
      <w:r w:rsidR="008D6A0F" w:rsidRPr="000D6202">
        <w:rPr>
          <w:rFonts w:ascii="Times New Roman" w:hAnsi="Times New Roman"/>
          <w:sz w:val="24"/>
          <w:szCs w:val="24"/>
          <w:lang w:val="en-GB"/>
        </w:rPr>
        <w:t>ial</w:t>
      </w:r>
      <w:r w:rsidRPr="000D6202">
        <w:rPr>
          <w:rFonts w:ascii="Times New Roman" w:hAnsi="Times New Roman"/>
          <w:sz w:val="24"/>
          <w:szCs w:val="24"/>
          <w:lang w:val="en-GB"/>
        </w:rPr>
        <w:t xml:space="preserve"> that it participated directly </w:t>
      </w:r>
      <w:r w:rsidR="008D6A0F" w:rsidRPr="000D6202">
        <w:rPr>
          <w:rFonts w:ascii="Times New Roman" w:hAnsi="Times New Roman"/>
          <w:sz w:val="24"/>
          <w:szCs w:val="24"/>
          <w:lang w:val="en-GB"/>
        </w:rPr>
        <w:t xml:space="preserve">in </w:t>
      </w:r>
      <w:r w:rsidRPr="000D6202">
        <w:rPr>
          <w:rFonts w:ascii="Times New Roman" w:hAnsi="Times New Roman"/>
          <w:sz w:val="24"/>
          <w:szCs w:val="24"/>
          <w:lang w:val="en-GB"/>
        </w:rPr>
        <w:t>the first draft of the Basel II agreement, which set the framework for banking regulation at the international level (Baker, 2010). However, this example is the exception</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008D6A0F" w:rsidRPr="000D6202">
        <w:rPr>
          <w:rFonts w:ascii="Times New Roman" w:hAnsi="Times New Roman"/>
          <w:sz w:val="24"/>
          <w:szCs w:val="24"/>
          <w:lang w:val="en-GB"/>
        </w:rPr>
        <w:t xml:space="preserve">rather </w:t>
      </w:r>
      <w:r w:rsidRPr="000D6202">
        <w:rPr>
          <w:rFonts w:ascii="Times New Roman" w:hAnsi="Times New Roman"/>
          <w:sz w:val="24"/>
          <w:szCs w:val="24"/>
          <w:lang w:val="en-GB"/>
        </w:rPr>
        <w:t>than the rule. In fact, the academic literature is not well</w:t>
      </w:r>
      <w:r w:rsidR="008D6A0F" w:rsidRPr="000D6202">
        <w:rPr>
          <w:rFonts w:ascii="Times New Roman" w:hAnsi="Times New Roman"/>
          <w:sz w:val="24"/>
          <w:szCs w:val="24"/>
          <w:lang w:val="en-GB"/>
        </w:rPr>
        <w:t>-</w:t>
      </w:r>
      <w:r w:rsidRPr="000D6202">
        <w:rPr>
          <w:rFonts w:ascii="Times New Roman" w:hAnsi="Times New Roman"/>
          <w:sz w:val="24"/>
          <w:szCs w:val="24"/>
          <w:lang w:val="en-GB"/>
        </w:rPr>
        <w:t>equipped to detect direct capture</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as material proofs are mostly hard to gather.</w:t>
      </w:r>
    </w:p>
    <w:p w14:paraId="4583A2AF" w14:textId="01DE71F9"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Second, indirect capture is related to central bankers’ financial career concerns and to the ‘revolving doors’ phenomenon. Adolph (2013) distinguishes between ex-ante and ex-post indirect capture. Ex-ante capture relates to career sociali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when central bankers are more likely to be influenced in their economic beliefs by the banking sector if they used to work within the financial industry. Ex-post capture refers to practices in the financial industry of hiring central bankers. In such a configuration, central bankers have incentives to send favo</w:t>
      </w:r>
      <w:r w:rsidR="00C9735D" w:rsidRPr="000D6202">
        <w:rPr>
          <w:rFonts w:ascii="Times New Roman" w:hAnsi="Times New Roman"/>
          <w:sz w:val="24"/>
          <w:szCs w:val="24"/>
          <w:lang w:val="en-GB"/>
        </w:rPr>
        <w:t>u</w:t>
      </w:r>
      <w:r w:rsidRPr="000D6202">
        <w:rPr>
          <w:rFonts w:ascii="Times New Roman" w:hAnsi="Times New Roman"/>
          <w:sz w:val="24"/>
          <w:szCs w:val="24"/>
          <w:lang w:val="en-GB"/>
        </w:rPr>
        <w:t xml:space="preserve">rable signals to their future employer in the financial sector. For example, central bankers might be deterred from advocating stronger financial regulation because they know </w:t>
      </w:r>
      <w:r w:rsidR="008D6A0F" w:rsidRPr="000D6202">
        <w:rPr>
          <w:rFonts w:ascii="Times New Roman" w:hAnsi="Times New Roman"/>
          <w:sz w:val="24"/>
          <w:szCs w:val="24"/>
          <w:lang w:val="en-GB"/>
        </w:rPr>
        <w:t xml:space="preserve">that </w:t>
      </w:r>
      <w:r w:rsidRPr="000D6202">
        <w:rPr>
          <w:rFonts w:ascii="Times New Roman" w:hAnsi="Times New Roman"/>
          <w:sz w:val="24"/>
          <w:szCs w:val="24"/>
          <w:lang w:val="en-GB"/>
        </w:rPr>
        <w:t xml:space="preserve">this might lower their chances </w:t>
      </w:r>
      <w:r w:rsidR="008D6A0F" w:rsidRPr="000D6202">
        <w:rPr>
          <w:rFonts w:ascii="Times New Roman" w:hAnsi="Times New Roman"/>
          <w:sz w:val="24"/>
          <w:szCs w:val="24"/>
          <w:lang w:val="en-GB"/>
        </w:rPr>
        <w:t xml:space="preserve">of </w:t>
      </w:r>
      <w:r w:rsidRPr="000D6202">
        <w:rPr>
          <w:rFonts w:ascii="Times New Roman" w:hAnsi="Times New Roman"/>
          <w:sz w:val="24"/>
          <w:szCs w:val="24"/>
          <w:lang w:val="en-GB"/>
        </w:rPr>
        <w:t>reap</w:t>
      </w:r>
      <w:r w:rsidR="008D6A0F" w:rsidRPr="000D6202">
        <w:rPr>
          <w:rFonts w:ascii="Times New Roman" w:hAnsi="Times New Roman"/>
          <w:sz w:val="24"/>
          <w:szCs w:val="24"/>
          <w:lang w:val="en-GB"/>
        </w:rPr>
        <w:t>ing</w:t>
      </w:r>
      <w:r w:rsidRPr="000D6202">
        <w:rPr>
          <w:rFonts w:ascii="Times New Roman" w:hAnsi="Times New Roman"/>
          <w:sz w:val="24"/>
          <w:szCs w:val="24"/>
          <w:lang w:val="en-GB"/>
        </w:rPr>
        <w:t xml:space="preserve"> the rewards of higher wages and more prestigious career prospects in the financial industry. Both ex-ante and ex-post mechanism</w:t>
      </w:r>
      <w:r w:rsidR="008D6A0F" w:rsidRPr="000D6202">
        <w:rPr>
          <w:rFonts w:ascii="Times New Roman" w:hAnsi="Times New Roman"/>
          <w:sz w:val="24"/>
          <w:szCs w:val="24"/>
          <w:lang w:val="en-GB"/>
        </w:rPr>
        <w:t>s</w:t>
      </w:r>
      <w:r w:rsidRPr="000D6202">
        <w:rPr>
          <w:rFonts w:ascii="Times New Roman" w:hAnsi="Times New Roman"/>
          <w:sz w:val="24"/>
          <w:szCs w:val="24"/>
          <w:lang w:val="en-GB"/>
        </w:rPr>
        <w:t xml:space="preserve"> influence central bankers’ interests</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so that they move closer to the financial industry interests. In other words, the financial industry does not need to influence central bankers from </w:t>
      </w:r>
      <w:r w:rsidRPr="000D6202">
        <w:rPr>
          <w:rFonts w:ascii="Times New Roman" w:hAnsi="Times New Roman"/>
          <w:i/>
          <w:sz w:val="24"/>
          <w:szCs w:val="24"/>
          <w:lang w:val="en-GB"/>
        </w:rPr>
        <w:t>outside</w:t>
      </w:r>
      <w:r w:rsidR="008D6A0F" w:rsidRPr="000D6202">
        <w:rPr>
          <w:rFonts w:ascii="Times New Roman" w:hAnsi="Times New Roman"/>
          <w:sz w:val="24"/>
          <w:szCs w:val="24"/>
          <w:lang w:val="en-GB"/>
        </w:rPr>
        <w:t>,</w:t>
      </w:r>
      <w:r w:rsidRPr="000D6202">
        <w:rPr>
          <w:rFonts w:ascii="Times New Roman" w:hAnsi="Times New Roman"/>
          <w:i/>
          <w:sz w:val="24"/>
          <w:szCs w:val="24"/>
          <w:lang w:val="en-GB"/>
        </w:rPr>
        <w:t xml:space="preserve"> </w:t>
      </w:r>
      <w:r w:rsidRPr="000D6202">
        <w:rPr>
          <w:rFonts w:ascii="Times New Roman" w:hAnsi="Times New Roman"/>
          <w:sz w:val="24"/>
          <w:szCs w:val="24"/>
          <w:lang w:val="en-GB"/>
        </w:rPr>
        <w:t xml:space="preserve">since capture takes place </w:t>
      </w:r>
      <w:r w:rsidRPr="000D6202">
        <w:rPr>
          <w:rFonts w:ascii="Times New Roman" w:hAnsi="Times New Roman"/>
          <w:i/>
          <w:sz w:val="24"/>
          <w:szCs w:val="24"/>
          <w:lang w:val="en-GB"/>
        </w:rPr>
        <w:t>within</w:t>
      </w:r>
      <w:r w:rsidRPr="000D6202">
        <w:rPr>
          <w:rFonts w:ascii="Times New Roman" w:hAnsi="Times New Roman"/>
          <w:sz w:val="24"/>
          <w:szCs w:val="24"/>
          <w:lang w:val="en-GB"/>
        </w:rPr>
        <w:t xml:space="preserve"> regulatory institutions. While economic sociology research on central bankers’ biographies since the crisis is scarce, preliminary research results show that individuals with a background in mainstream economics and private finance enabled monetary innovations (Lebaron &amp; Dogan</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Fontan</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2016). Moreover, ex-post risks of capture are especially significant</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since former central bankers are appointed to a managerial position in the asset management sector after a median period of one year (Carré &amp; Demange</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2017).</w:t>
      </w:r>
    </w:p>
    <w:p w14:paraId="6604DC54" w14:textId="2265498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Third, cognitive capture does not require </w:t>
      </w:r>
      <w:r w:rsidR="008D6A0F" w:rsidRPr="000D6202">
        <w:rPr>
          <w:rFonts w:ascii="Times New Roman" w:hAnsi="Times New Roman"/>
          <w:sz w:val="24"/>
          <w:szCs w:val="24"/>
          <w:lang w:val="en-GB"/>
        </w:rPr>
        <w:t xml:space="preserve">either </w:t>
      </w:r>
      <w:r w:rsidRPr="000D6202">
        <w:rPr>
          <w:rFonts w:ascii="Times New Roman" w:hAnsi="Times New Roman"/>
          <w:sz w:val="24"/>
          <w:szCs w:val="24"/>
          <w:lang w:val="en-GB"/>
        </w:rPr>
        <w:t>direct or indirect capture (Buiter, 2008</w:t>
      </w:r>
      <w:r w:rsidR="008D6A0F"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Kwak, 2014). Central bankers and financial operators might share similar economic ideas because of group-thinking or </w:t>
      </w:r>
      <w:r w:rsidR="008D6A0F" w:rsidRPr="000D6202">
        <w:rPr>
          <w:rFonts w:ascii="Times New Roman" w:hAnsi="Times New Roman"/>
          <w:sz w:val="24"/>
          <w:szCs w:val="24"/>
          <w:lang w:val="en-GB"/>
        </w:rPr>
        <w:t xml:space="preserve">socialisation </w:t>
      </w:r>
      <w:r w:rsidRPr="000D6202">
        <w:rPr>
          <w:rFonts w:ascii="Times New Roman" w:hAnsi="Times New Roman"/>
          <w:sz w:val="24"/>
          <w:szCs w:val="24"/>
          <w:lang w:val="en-GB"/>
        </w:rPr>
        <w:t xml:space="preserve">processes. In fact, central bankers and representatives from the banking sector share similar sociological profiles and scholarly curricula. They meet frequently </w:t>
      </w:r>
      <w:r w:rsidR="008D6A0F" w:rsidRPr="000D6202">
        <w:rPr>
          <w:rFonts w:ascii="Times New Roman" w:hAnsi="Times New Roman"/>
          <w:sz w:val="24"/>
          <w:szCs w:val="24"/>
          <w:lang w:val="en-GB"/>
        </w:rPr>
        <w:t xml:space="preserve">on </w:t>
      </w:r>
      <w:r w:rsidRPr="000D6202">
        <w:rPr>
          <w:rFonts w:ascii="Times New Roman" w:hAnsi="Times New Roman"/>
          <w:sz w:val="24"/>
          <w:szCs w:val="24"/>
          <w:lang w:val="en-GB"/>
        </w:rPr>
        <w:t>different occasions, for example</w:t>
      </w:r>
      <w:r w:rsidR="008D6A0F" w:rsidRPr="000D6202">
        <w:rPr>
          <w:rFonts w:ascii="Times New Roman" w:hAnsi="Times New Roman"/>
          <w:sz w:val="24"/>
          <w:szCs w:val="24"/>
          <w:lang w:val="en-GB"/>
        </w:rPr>
        <w:t>,</w:t>
      </w:r>
      <w:r w:rsidRPr="000D6202">
        <w:rPr>
          <w:rFonts w:ascii="Times New Roman" w:hAnsi="Times New Roman"/>
          <w:sz w:val="24"/>
          <w:szCs w:val="24"/>
          <w:lang w:val="en-GB"/>
        </w:rPr>
        <w:t xml:space="preserve"> during central bankers’ speeches. Moreover, an NGO has recently reported that the ECB’s twenty-two advisory groups include an overwhelming majority of representatives from private banks (508 of the 517 seats) (CEO, 2017). As central banks have gained financial supervision competences, the channels of communication between central banks and the financial sector will increase, </w:t>
      </w:r>
      <w:r w:rsidR="008D6A0F" w:rsidRPr="000D6202">
        <w:rPr>
          <w:rFonts w:ascii="Times New Roman" w:hAnsi="Times New Roman"/>
          <w:sz w:val="24"/>
          <w:szCs w:val="24"/>
          <w:lang w:val="en-GB"/>
        </w:rPr>
        <w:t>as</w:t>
      </w:r>
      <w:r w:rsidRPr="000D6202">
        <w:rPr>
          <w:rFonts w:ascii="Times New Roman" w:hAnsi="Times New Roman"/>
          <w:sz w:val="24"/>
          <w:szCs w:val="24"/>
          <w:lang w:val="en-GB"/>
        </w:rPr>
        <w:t xml:space="preserve"> will the risk of cognitive capture. </w:t>
      </w:r>
    </w:p>
    <w:p w14:paraId="63856AAA" w14:textId="77777777" w:rsidR="009B3C64" w:rsidRPr="000D6202" w:rsidRDefault="009B3C64" w:rsidP="009B3C64">
      <w:pPr>
        <w:numPr>
          <w:ilvl w:val="0"/>
          <w:numId w:val="3"/>
        </w:numPr>
        <w:spacing w:before="100" w:beforeAutospacing="1" w:after="100" w:afterAutospacing="1" w:line="288" w:lineRule="auto"/>
        <w:jc w:val="both"/>
        <w:rPr>
          <w:rFonts w:ascii="Times New Roman" w:hAnsi="Times New Roman"/>
          <w:i/>
          <w:sz w:val="24"/>
          <w:szCs w:val="24"/>
          <w:lang w:val="en-GB"/>
        </w:rPr>
      </w:pPr>
      <w:r w:rsidRPr="000D6202">
        <w:rPr>
          <w:rFonts w:ascii="Times New Roman" w:hAnsi="Times New Roman"/>
          <w:i/>
          <w:sz w:val="24"/>
          <w:szCs w:val="24"/>
          <w:lang w:val="en-GB"/>
        </w:rPr>
        <w:t>Structural power</w:t>
      </w:r>
    </w:p>
    <w:p w14:paraId="1059E808" w14:textId="6BE4B84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Whereas the instrumental power of finance is direct and relational, its structural power derives from the central role played by financial institutions in our economies (Culpepper &amp; Reinke, 2014). When banks become too-big-to-fail (TBTF) under the financiali</w:t>
      </w:r>
      <w:r w:rsidR="00C9735D" w:rsidRPr="000D6202">
        <w:rPr>
          <w:rFonts w:ascii="Times New Roman" w:hAnsi="Times New Roman"/>
          <w:sz w:val="24"/>
          <w:szCs w:val="24"/>
          <w:lang w:val="en-GB"/>
        </w:rPr>
        <w:t>s</w:t>
      </w:r>
      <w:r w:rsidRPr="000D6202">
        <w:rPr>
          <w:rFonts w:ascii="Times New Roman" w:hAnsi="Times New Roman"/>
          <w:sz w:val="24"/>
          <w:szCs w:val="24"/>
          <w:lang w:val="en-GB"/>
        </w:rPr>
        <w:t xml:space="preserve">ation process, it is much more likely that public authorities will bail them out in </w:t>
      </w:r>
      <w:r w:rsidR="002548CA" w:rsidRPr="000D6202">
        <w:rPr>
          <w:rFonts w:ascii="Times New Roman" w:hAnsi="Times New Roman"/>
          <w:sz w:val="24"/>
          <w:szCs w:val="24"/>
          <w:lang w:val="en-GB"/>
        </w:rPr>
        <w:t xml:space="preserve">the </w:t>
      </w:r>
      <w:r w:rsidRPr="000D6202">
        <w:rPr>
          <w:rFonts w:ascii="Times New Roman" w:hAnsi="Times New Roman"/>
          <w:sz w:val="24"/>
          <w:szCs w:val="24"/>
          <w:lang w:val="en-GB"/>
        </w:rPr>
        <w:t>case of financial difficulties (Woll</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sz w:val="24"/>
          <w:szCs w:val="24"/>
          <w:lang w:val="en-GB"/>
        </w:rPr>
        <w:lastRenderedPageBreak/>
        <w:t>2014). The awareness that policymakers’ hands are tied create</w:t>
      </w:r>
      <w:r w:rsidR="002548CA" w:rsidRPr="000D6202">
        <w:rPr>
          <w:rFonts w:ascii="Times New Roman" w:hAnsi="Times New Roman"/>
          <w:sz w:val="24"/>
          <w:szCs w:val="24"/>
          <w:lang w:val="en-GB"/>
        </w:rPr>
        <w:t>s</w:t>
      </w:r>
      <w:r w:rsidRPr="000D6202">
        <w:rPr>
          <w:rFonts w:ascii="Times New Roman" w:hAnsi="Times New Roman"/>
          <w:sz w:val="24"/>
          <w:szCs w:val="24"/>
          <w:lang w:val="en-GB"/>
        </w:rPr>
        <w:t xml:space="preserve"> a problem of moral hazard</w:t>
      </w:r>
      <w:r w:rsidR="002548CA" w:rsidRPr="000D6202">
        <w:rPr>
          <w:rFonts w:ascii="Times New Roman" w:hAnsi="Times New Roman"/>
          <w:sz w:val="24"/>
          <w:szCs w:val="24"/>
          <w:lang w:val="en-GB"/>
        </w:rPr>
        <w:t>,</w:t>
      </w:r>
      <w:r w:rsidRPr="000D6202">
        <w:rPr>
          <w:rStyle w:val="FootnoteReference"/>
          <w:rFonts w:ascii="Times New Roman" w:hAnsi="Times New Roman"/>
          <w:lang w:val="en-GB"/>
        </w:rPr>
        <w:footnoteReference w:id="10"/>
      </w:r>
      <w:r w:rsidRPr="000D6202">
        <w:rPr>
          <w:rFonts w:ascii="Times New Roman" w:hAnsi="Times New Roman"/>
          <w:sz w:val="24"/>
          <w:szCs w:val="24"/>
          <w:lang w:val="en-GB"/>
        </w:rPr>
        <w:t xml:space="preserve"> since banks have an incentive to grow to the point that they become TBTF. In fact, Federal Reserve insiders acknowledged in 2005 that reputational and economic costs linked to the failure of a TBTF institution would be so high that they would have no choice but to bail out insolvent banks, even though it would trigger </w:t>
      </w:r>
      <w:r w:rsidR="002548CA" w:rsidRPr="000D6202">
        <w:rPr>
          <w:rFonts w:ascii="Times New Roman" w:hAnsi="Times New Roman"/>
          <w:sz w:val="24"/>
          <w:szCs w:val="24"/>
          <w:lang w:val="en-GB"/>
        </w:rPr>
        <w:t xml:space="preserve">a </w:t>
      </w:r>
      <w:r w:rsidRPr="000D6202">
        <w:rPr>
          <w:rFonts w:ascii="Times New Roman" w:hAnsi="Times New Roman"/>
          <w:sz w:val="24"/>
          <w:szCs w:val="24"/>
          <w:lang w:val="en-GB"/>
        </w:rPr>
        <w:t xml:space="preserve">moral hazard and, thus, hamper </w:t>
      </w:r>
      <w:r w:rsidR="002548CA" w:rsidRPr="000D6202">
        <w:rPr>
          <w:rFonts w:ascii="Times New Roman" w:hAnsi="Times New Roman"/>
          <w:sz w:val="24"/>
          <w:szCs w:val="24"/>
          <w:lang w:val="en-GB"/>
        </w:rPr>
        <w:t xml:space="preserve">both </w:t>
      </w:r>
      <w:r w:rsidRPr="000D6202">
        <w:rPr>
          <w:rFonts w:ascii="Times New Roman" w:hAnsi="Times New Roman"/>
          <w:sz w:val="24"/>
          <w:szCs w:val="24"/>
          <w:lang w:val="en-GB"/>
        </w:rPr>
        <w:t>medium</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and long-term financial stability (Stern &amp; Feldman</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2005).</w:t>
      </w:r>
    </w:p>
    <w:p w14:paraId="64274070" w14:textId="2F671736"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Arguably, the liquidity offered to insolvent institutions in the early stages of the crisis, and the systemic unconventional monetary tools implemented later on, confirmed that, when central banks are faced with a trade-off between short-term financial stability and long-term financial stability, they tend to favour the former (Jacob and Kings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Goodhart et al.</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2014). In turn, these interventions transformed central banks into “bad banks”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to the extent that they swapped liquidity against risky assets previously owned by commercial banks (Cour-Thimann, 2013). Moreover, banks did not use this favo</w:t>
      </w:r>
      <w:r w:rsidR="002548CA" w:rsidRPr="000D6202">
        <w:rPr>
          <w:rFonts w:ascii="Times New Roman" w:hAnsi="Times New Roman"/>
          <w:sz w:val="24"/>
          <w:szCs w:val="24"/>
          <w:lang w:val="en-GB"/>
        </w:rPr>
        <w:t>u</w:t>
      </w:r>
      <w:r w:rsidRPr="000D6202">
        <w:rPr>
          <w:rFonts w:ascii="Times New Roman" w:hAnsi="Times New Roman"/>
          <w:sz w:val="24"/>
          <w:szCs w:val="24"/>
          <w:lang w:val="en-GB"/>
        </w:rPr>
        <w:t xml:space="preserve">rable situation to </w:t>
      </w:r>
      <w:r w:rsidR="002548CA" w:rsidRPr="000D6202">
        <w:rPr>
          <w:rFonts w:ascii="Times New Roman" w:hAnsi="Times New Roman"/>
          <w:sz w:val="24"/>
          <w:szCs w:val="24"/>
          <w:lang w:val="en-GB"/>
        </w:rPr>
        <w:t xml:space="preserve">recapitalise </w:t>
      </w:r>
      <w:r w:rsidRPr="000D6202">
        <w:rPr>
          <w:rFonts w:ascii="Times New Roman" w:hAnsi="Times New Roman"/>
          <w:sz w:val="24"/>
          <w:szCs w:val="24"/>
          <w:lang w:val="en-GB"/>
        </w:rPr>
        <w:t xml:space="preserve">and consolidate their balance-sheets to be more resilient when the next financial crisis hits (Brunnermeier and Sannikov, 2016). Rather, the discrepancy between the post-crisis lacklustre economic performances and market euphoria suggests that financial operators did not </w:t>
      </w:r>
      <w:r w:rsidR="002548CA" w:rsidRPr="000D6202">
        <w:rPr>
          <w:rFonts w:ascii="Times New Roman" w:hAnsi="Times New Roman"/>
          <w:sz w:val="24"/>
          <w:szCs w:val="24"/>
          <w:lang w:val="en-GB"/>
        </w:rPr>
        <w:t>make any fundamental changes to</w:t>
      </w:r>
      <w:r w:rsidRPr="000D6202">
        <w:rPr>
          <w:rFonts w:ascii="Times New Roman" w:hAnsi="Times New Roman"/>
          <w:sz w:val="24"/>
          <w:szCs w:val="24"/>
          <w:lang w:val="en-GB"/>
        </w:rPr>
        <w:t xml:space="preserve"> their risky behaviours (Turner, 2014</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Admati and Hellwig, 2014).</w:t>
      </w:r>
    </w:p>
    <w:p w14:paraId="50DFF81B" w14:textId="2922C989"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Alongside central bankers themselves, New Keynesian scholars argue that moral hazard is a small price to pay</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considering that the economic and social consequences of the 2007 market meltdown would have been more severe without the swiftness and the scope of central bank interventions (Eichengreen, 2014). However, in this case, we would expect central bankers and other political authorities to support stricter financial regulation and deleveraging of the financial sector to prevent similar problematic scenario in the future. Yet, financial regulation reforms at domestic and supra</w:t>
      </w:r>
      <w:r w:rsidR="002548CA" w:rsidRPr="000D6202">
        <w:rPr>
          <w:rFonts w:ascii="Times New Roman" w:hAnsi="Times New Roman"/>
          <w:sz w:val="24"/>
          <w:szCs w:val="24"/>
          <w:lang w:val="en-GB"/>
        </w:rPr>
        <w:t>-</w:t>
      </w:r>
      <w:r w:rsidRPr="000D6202">
        <w:rPr>
          <w:rFonts w:ascii="Times New Roman" w:hAnsi="Times New Roman"/>
          <w:sz w:val="24"/>
          <w:szCs w:val="24"/>
          <w:lang w:val="en-GB"/>
        </w:rPr>
        <w:t>national levels did not meaningfully limit the problematic financial activities that led to the crisis (Helleiner</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2014</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Couppey-Soubeyran</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2015</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Thiemann et al</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2017</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Hunt &amp; Hay</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2018). The first research results on the role played by central banks in these reforms show that, far from advocating stricter rules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they have advocated further financiali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of the banking sector (</w:t>
      </w:r>
      <w:r w:rsidRPr="000D6202">
        <w:rPr>
          <w:rFonts w:ascii="Times New Roman" w:hAnsi="Times New Roman"/>
          <w:sz w:val="24"/>
          <w:szCs w:val="24"/>
          <w:lang w:val="en-GB" w:eastAsia="sv-SE"/>
        </w:rPr>
        <w:t>Gabor and Vestergaard</w:t>
      </w:r>
      <w:r w:rsidR="002548CA" w:rsidRPr="000D6202">
        <w:rPr>
          <w:rFonts w:ascii="Times New Roman" w:hAnsi="Times New Roman"/>
          <w:sz w:val="24"/>
          <w:szCs w:val="24"/>
          <w:lang w:val="en-GB" w:eastAsia="sv-SE"/>
        </w:rPr>
        <w:t>,</w:t>
      </w:r>
      <w:r w:rsidRPr="000D6202">
        <w:rPr>
          <w:rFonts w:ascii="Times New Roman" w:hAnsi="Times New Roman"/>
          <w:sz w:val="24"/>
          <w:szCs w:val="24"/>
          <w:lang w:val="en-GB" w:eastAsia="sv-SE"/>
        </w:rPr>
        <w:t xml:space="preserve"> 2018</w:t>
      </w:r>
      <w:r w:rsidR="002548CA" w:rsidRPr="000D6202">
        <w:rPr>
          <w:rFonts w:ascii="Times New Roman" w:hAnsi="Times New Roman"/>
          <w:sz w:val="24"/>
          <w:szCs w:val="24"/>
          <w:lang w:val="en-GB" w:eastAsia="sv-SE"/>
        </w:rPr>
        <w:t xml:space="preserve">; </w:t>
      </w:r>
      <w:r w:rsidRPr="000D6202">
        <w:rPr>
          <w:rFonts w:ascii="Times New Roman" w:hAnsi="Times New Roman"/>
          <w:sz w:val="24"/>
          <w:szCs w:val="24"/>
          <w:lang w:val="en-GB"/>
        </w:rPr>
        <w:t>Conti-Brown</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2016, p.160).</w:t>
      </w:r>
    </w:p>
    <w:p w14:paraId="3B3E0178" w14:textId="77777777" w:rsidR="009B3C64" w:rsidRPr="000D6202" w:rsidRDefault="009B3C64" w:rsidP="009B3C64">
      <w:pPr>
        <w:numPr>
          <w:ilvl w:val="0"/>
          <w:numId w:val="3"/>
        </w:numPr>
        <w:spacing w:before="100" w:beforeAutospacing="1" w:after="100" w:afterAutospacing="1" w:line="288" w:lineRule="auto"/>
        <w:jc w:val="both"/>
        <w:rPr>
          <w:rFonts w:ascii="Times New Roman" w:hAnsi="Times New Roman"/>
          <w:i/>
          <w:sz w:val="24"/>
          <w:szCs w:val="24"/>
          <w:lang w:val="en-GB"/>
        </w:rPr>
      </w:pPr>
      <w:r w:rsidRPr="000D6202">
        <w:rPr>
          <w:rFonts w:ascii="Times New Roman" w:hAnsi="Times New Roman"/>
          <w:i/>
          <w:sz w:val="24"/>
          <w:szCs w:val="24"/>
          <w:lang w:val="en-GB"/>
        </w:rPr>
        <w:t>Infrastructural power</w:t>
      </w:r>
    </w:p>
    <w:p w14:paraId="54CB3461" w14:textId="149617A4" w:rsidR="009B3C64" w:rsidRPr="000D6202" w:rsidRDefault="009B3C64" w:rsidP="009B3C64">
      <w:pPr>
        <w:autoSpaceDE w:val="0"/>
        <w:autoSpaceDN w:val="0"/>
        <w:adjustRightInd w:val="0"/>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Commercial banks wield infrastructural power</w:t>
      </w:r>
      <w:r w:rsidR="002548CA" w:rsidRPr="000D6202">
        <w:rPr>
          <w:rFonts w:ascii="Times New Roman" w:hAnsi="Times New Roman"/>
          <w:sz w:val="24"/>
          <w:szCs w:val="24"/>
          <w:lang w:val="en-GB"/>
        </w:rPr>
        <w:t>—</w:t>
      </w:r>
      <w:r w:rsidRPr="000D6202">
        <w:rPr>
          <w:rFonts w:ascii="Times New Roman" w:hAnsi="Times New Roman"/>
          <w:sz w:val="24"/>
          <w:szCs w:val="24"/>
          <w:lang w:val="en-GB"/>
        </w:rPr>
        <w:t>the control they exert over the transmission channels of monetary policy (Braun, 2018). In fact, central banks do not directly control how prices are set in an economy</w:t>
      </w:r>
      <w:r w:rsidR="002548CA" w:rsidRPr="000D6202">
        <w:rPr>
          <w:rFonts w:ascii="Times New Roman" w:hAnsi="Times New Roman"/>
          <w:sz w:val="24"/>
          <w:szCs w:val="24"/>
          <w:lang w:val="en-GB"/>
        </w:rPr>
        <w:t>—</w:t>
      </w:r>
      <w:r w:rsidRPr="000D6202">
        <w:rPr>
          <w:rFonts w:ascii="Times New Roman" w:hAnsi="Times New Roman"/>
          <w:sz w:val="24"/>
          <w:szCs w:val="24"/>
          <w:lang w:val="en-GB"/>
        </w:rPr>
        <w:t>those stem from multiple decisions of economic agents</w:t>
      </w:r>
      <w:r w:rsidR="002548CA" w:rsidRPr="000D6202">
        <w:rPr>
          <w:rFonts w:ascii="Times New Roman" w:hAnsi="Times New Roman"/>
          <w:sz w:val="24"/>
          <w:szCs w:val="24"/>
          <w:lang w:val="en-GB"/>
        </w:rPr>
        <w:t>—</w:t>
      </w:r>
      <w:r w:rsidRPr="000D6202">
        <w:rPr>
          <w:rFonts w:ascii="Times New Roman" w:hAnsi="Times New Roman"/>
          <w:sz w:val="24"/>
          <w:szCs w:val="24"/>
          <w:lang w:val="en-GB"/>
        </w:rPr>
        <w:t>but monetary policy has an indirect impact on prices through various ‘channels of transmission’. Banks play a central role in the transmission of monetary policy</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as they modify their credit policy according to central banks’ manipulation of the interbank lending market rates. In the </w:t>
      </w:r>
      <w:r w:rsidRPr="000D6202">
        <w:rPr>
          <w:rFonts w:ascii="Times New Roman" w:hAnsi="Times New Roman"/>
          <w:sz w:val="24"/>
          <w:szCs w:val="24"/>
          <w:lang w:val="en-GB"/>
        </w:rPr>
        <w:lastRenderedPageBreak/>
        <w:t xml:space="preserve">words of Braun, these channels of transmission are “infrastructural entanglements”, which makes central bankers dependent on bankers to steer the economy. Scholars have explored how central bankers’ </w:t>
      </w:r>
      <w:r w:rsidR="002548CA" w:rsidRPr="000D6202">
        <w:rPr>
          <w:rFonts w:ascii="Times New Roman" w:hAnsi="Times New Roman"/>
          <w:sz w:val="24"/>
          <w:szCs w:val="24"/>
          <w:lang w:val="en-GB"/>
        </w:rPr>
        <w:t xml:space="preserve">depoliticisation </w:t>
      </w:r>
      <w:r w:rsidRPr="000D6202">
        <w:rPr>
          <w:rFonts w:ascii="Times New Roman" w:hAnsi="Times New Roman"/>
          <w:sz w:val="24"/>
          <w:szCs w:val="24"/>
          <w:lang w:val="en-GB"/>
        </w:rPr>
        <w:t>strategies ignited commercial bank’s infrastructural power before the crisis on both sides of the Atlantic (Krippner</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2012</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Gabor &amp; Ban</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2016). Now, they study how this leverage led to the protection and promotion of problematic market activities by central bankers and their lack of control over the use of the liquidity provided to financial operators since the crisis.</w:t>
      </w:r>
    </w:p>
    <w:p w14:paraId="12A55AA3" w14:textId="4BF6533B"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First, after Lehman Brothers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bankruptcy, the Fed, the BoE</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and the ECB injected massive amounts of liquidity to </w:t>
      </w:r>
      <w:r w:rsidR="002548CA" w:rsidRPr="000D6202">
        <w:rPr>
          <w:rFonts w:ascii="Times New Roman" w:hAnsi="Times New Roman"/>
          <w:sz w:val="24"/>
          <w:szCs w:val="24"/>
          <w:lang w:val="en-GB"/>
        </w:rPr>
        <w:t xml:space="preserve">stabilise </w:t>
      </w:r>
      <w:r w:rsidRPr="000D6202">
        <w:rPr>
          <w:rFonts w:ascii="Times New Roman" w:hAnsi="Times New Roman"/>
          <w:sz w:val="24"/>
          <w:szCs w:val="24"/>
          <w:lang w:val="en-GB"/>
        </w:rPr>
        <w:t>problematic segments of financial markets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such as repo and securiti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markets</w:t>
      </w:r>
      <w:r w:rsidRPr="000D6202">
        <w:rPr>
          <w:rStyle w:val="FootnoteReference"/>
          <w:rFonts w:ascii="Times New Roman" w:hAnsi="Times New Roman"/>
          <w:lang w:val="en-GB"/>
        </w:rPr>
        <w:footnoteReference w:id="11"/>
      </w:r>
      <w:r w:rsidRPr="000D6202">
        <w:rPr>
          <w:rFonts w:ascii="Times New Roman" w:hAnsi="Times New Roman"/>
          <w:sz w:val="24"/>
          <w:szCs w:val="24"/>
          <w:lang w:val="en-GB"/>
        </w:rPr>
        <w:t xml:space="preserve"> (Gabor &amp; Ban, 2016). The ECB came to rely so much on the smooth functioning of repo markets for the transmission of its monetary policy that it successfully opposed their inclusion into the EU financial transactions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tax proposal (Gabor, 2016). The Fed adopted similar lobbying activities to oppose stricter regulation on the US repo markets (Singh, 2015). Moreover, the ECB and the BoE have also been at the forefront of the EU authorities’ efforts to revive </w:t>
      </w:r>
      <w:r w:rsidR="002548CA" w:rsidRPr="000D6202">
        <w:rPr>
          <w:rFonts w:ascii="Times New Roman" w:hAnsi="Times New Roman"/>
          <w:sz w:val="24"/>
          <w:szCs w:val="24"/>
          <w:lang w:val="en-GB"/>
        </w:rPr>
        <w:t xml:space="preserve">securitisation </w:t>
      </w:r>
      <w:r w:rsidRPr="000D6202">
        <w:rPr>
          <w:rFonts w:ascii="Times New Roman" w:hAnsi="Times New Roman"/>
          <w:sz w:val="24"/>
          <w:szCs w:val="24"/>
          <w:lang w:val="en-GB"/>
        </w:rPr>
        <w:t xml:space="preserve">markets under the Capital Market Union proposal </w:t>
      </w:r>
      <w:r w:rsidR="002548CA" w:rsidRPr="000D6202">
        <w:rPr>
          <w:rFonts w:ascii="Times New Roman" w:hAnsi="Times New Roman"/>
          <w:sz w:val="24"/>
          <w:szCs w:val="24"/>
          <w:lang w:val="en-GB"/>
        </w:rPr>
        <w:t>[</w:t>
      </w:r>
      <w:r w:rsidRPr="000D6202">
        <w:rPr>
          <w:rFonts w:ascii="Times New Roman" w:hAnsi="Times New Roman"/>
          <w:sz w:val="24"/>
          <w:szCs w:val="24"/>
          <w:lang w:val="en-GB"/>
        </w:rPr>
        <w:t>Competition and change, special issue 2018, vol. 22 (2</w:t>
      </w:r>
      <w:r w:rsidR="002548CA" w:rsidRPr="000D6202">
        <w:rPr>
          <w:rFonts w:ascii="Times New Roman" w:hAnsi="Times New Roman"/>
          <w:sz w:val="24"/>
          <w:szCs w:val="24"/>
          <w:lang w:val="en-GB"/>
        </w:rPr>
        <w:t xml:space="preserve">)]. </w:t>
      </w:r>
      <w:r w:rsidRPr="000D6202">
        <w:rPr>
          <w:rFonts w:ascii="Times New Roman" w:hAnsi="Times New Roman"/>
          <w:sz w:val="24"/>
          <w:szCs w:val="24"/>
          <w:lang w:val="en-GB"/>
        </w:rPr>
        <w:t>In other words, central bankers have actively defended and promoted problematic market activities that led to the crisis because the transmission of their monetary policy came to rely on their smooth functioning.</w:t>
      </w:r>
    </w:p>
    <w:p w14:paraId="6C92DA2E" w14:textId="4951B818"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Second, there is a huge discrepancy between the amounts of liquidity injected by central banks in the financial markets and their impact on economic performances (Turner, 2014). This is because commercial banks exploit their leverage to use the liquidity provided by central banks for purposes </w:t>
      </w:r>
      <w:r w:rsidR="002548CA" w:rsidRPr="000D6202">
        <w:rPr>
          <w:rFonts w:ascii="Times New Roman" w:hAnsi="Times New Roman"/>
          <w:sz w:val="24"/>
          <w:szCs w:val="24"/>
          <w:lang w:val="en-GB"/>
        </w:rPr>
        <w:t xml:space="preserve">other </w:t>
      </w:r>
      <w:r w:rsidRPr="000D6202">
        <w:rPr>
          <w:rFonts w:ascii="Times New Roman" w:hAnsi="Times New Roman"/>
          <w:sz w:val="24"/>
          <w:szCs w:val="24"/>
          <w:lang w:val="en-GB"/>
        </w:rPr>
        <w:t xml:space="preserve">than providing credit to economic agents (such as </w:t>
      </w:r>
      <w:r w:rsidR="00200073" w:rsidRPr="000D6202">
        <w:rPr>
          <w:rFonts w:ascii="Times New Roman" w:hAnsi="Times New Roman"/>
          <w:sz w:val="24"/>
          <w:szCs w:val="24"/>
          <w:lang w:val="en-GB"/>
        </w:rPr>
        <w:t xml:space="preserve">either </w:t>
      </w:r>
      <w:r w:rsidRPr="000D6202">
        <w:rPr>
          <w:rFonts w:ascii="Times New Roman" w:hAnsi="Times New Roman"/>
          <w:sz w:val="24"/>
          <w:szCs w:val="24"/>
          <w:lang w:val="en-GB"/>
        </w:rPr>
        <w:t>investing in exiting assets or derivat</w:t>
      </w:r>
      <w:r w:rsidR="002548CA" w:rsidRPr="000D6202">
        <w:rPr>
          <w:rFonts w:ascii="Times New Roman" w:hAnsi="Times New Roman"/>
          <w:sz w:val="24"/>
          <w:szCs w:val="24"/>
          <w:lang w:val="en-GB"/>
        </w:rPr>
        <w:t xml:space="preserve">ives </w:t>
      </w:r>
      <w:r w:rsidRPr="000D6202">
        <w:rPr>
          <w:rFonts w:ascii="Times New Roman" w:hAnsi="Times New Roman"/>
          <w:sz w:val="24"/>
          <w:szCs w:val="24"/>
          <w:lang w:val="en-GB"/>
        </w:rPr>
        <w:t>or engaging in shares</w:t>
      </w:r>
      <w:r w:rsidR="002548CA" w:rsidRPr="000D6202">
        <w:rPr>
          <w:rFonts w:ascii="Times New Roman" w:hAnsi="Times New Roman"/>
          <w:sz w:val="24"/>
          <w:szCs w:val="24"/>
          <w:lang w:val="en-GB"/>
        </w:rPr>
        <w:t>’</w:t>
      </w:r>
      <w:r w:rsidRPr="000D6202">
        <w:rPr>
          <w:rFonts w:ascii="Times New Roman" w:hAnsi="Times New Roman"/>
          <w:sz w:val="24"/>
          <w:szCs w:val="24"/>
          <w:lang w:val="en-GB"/>
        </w:rPr>
        <w:t xml:space="preserve"> buybacks). Political economy research on the conditionality attached to monetary instruments has shown that central bankers fail to control the use of their liquidity (Dietsch at al</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2018, chap. 3). For example, as no conditionality was attached to the initial ECB liquidity offers, banks engaged in carry trade activities that are problematic from the point of view of central bank policy objectives: they borrowed liquidity at 1% to purchase risk-free sovereign bonds with higher interest rates and pocketed the difference. When the introduction of some form of conditionality on the use of liquidity was experienced, banks were reluctant to participate </w:t>
      </w:r>
      <w:r w:rsidR="00200073" w:rsidRPr="000D6202">
        <w:rPr>
          <w:rFonts w:ascii="Times New Roman" w:hAnsi="Times New Roman"/>
          <w:sz w:val="24"/>
          <w:szCs w:val="24"/>
          <w:lang w:val="en-GB"/>
        </w:rPr>
        <w:t xml:space="preserve">in </w:t>
      </w:r>
      <w:r w:rsidRPr="000D6202">
        <w:rPr>
          <w:rFonts w:ascii="Times New Roman" w:hAnsi="Times New Roman"/>
          <w:sz w:val="24"/>
          <w:szCs w:val="24"/>
          <w:lang w:val="en-GB"/>
        </w:rPr>
        <w:t>these operations</w:t>
      </w:r>
      <w:r w:rsidR="00200073" w:rsidRPr="000D6202">
        <w:rPr>
          <w:rFonts w:ascii="Times New Roman" w:hAnsi="Times New Roman"/>
          <w:sz w:val="24"/>
          <w:szCs w:val="24"/>
          <w:lang w:val="en-GB"/>
        </w:rPr>
        <w:t xml:space="preserve">, </w:t>
      </w:r>
      <w:r w:rsidRPr="000D6202">
        <w:rPr>
          <w:rFonts w:ascii="Times New Roman" w:hAnsi="Times New Roman"/>
          <w:sz w:val="24"/>
          <w:szCs w:val="24"/>
          <w:lang w:val="en-GB"/>
        </w:rPr>
        <w:t>and the ECB quickly gave up its attempt to control the use of its liquidity.</w:t>
      </w:r>
    </w:p>
    <w:p w14:paraId="58C9150A" w14:textId="6F69E49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In sum, isolating central banks from political pressures does not solve the issue of their independence towards financial market interests. Quite the contrary, the answer of independent central banks to the financial crisis has exposed that they are, at least to some extent, under financial dominance, which is caused by the instrumental, structural</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and infrastructural power </w:t>
      </w:r>
      <w:r w:rsidRPr="000D6202">
        <w:rPr>
          <w:rFonts w:ascii="Times New Roman" w:hAnsi="Times New Roman"/>
          <w:sz w:val="24"/>
          <w:szCs w:val="24"/>
          <w:lang w:val="en-GB"/>
        </w:rPr>
        <w:lastRenderedPageBreak/>
        <w:t xml:space="preserve">wielded by financial institutions. While </w:t>
      </w:r>
      <w:r w:rsidR="00200073" w:rsidRPr="000D6202">
        <w:rPr>
          <w:rFonts w:ascii="Times New Roman" w:hAnsi="Times New Roman"/>
          <w:sz w:val="24"/>
          <w:szCs w:val="24"/>
          <w:lang w:val="en-GB"/>
        </w:rPr>
        <w:t xml:space="preserve">being </w:t>
      </w:r>
      <w:r w:rsidRPr="000D6202">
        <w:rPr>
          <w:rFonts w:ascii="Times New Roman" w:hAnsi="Times New Roman"/>
          <w:sz w:val="24"/>
          <w:szCs w:val="24"/>
          <w:lang w:val="en-GB"/>
        </w:rPr>
        <w:t>problematic from a societal point of view, financial dominance offers three vibrant research agendas for political economists and economic sociologists.</w:t>
      </w:r>
    </w:p>
    <w:p w14:paraId="35390410" w14:textId="2B26990F"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First, debates about infrastructural power articulate well with the research on the state-finance nexus. For example, economic sociology scholars studying the marketi</w:t>
      </w:r>
      <w:r w:rsidR="00C9735D" w:rsidRPr="000D6202">
        <w:rPr>
          <w:rFonts w:ascii="Times New Roman" w:hAnsi="Times New Roman"/>
          <w:sz w:val="24"/>
          <w:szCs w:val="24"/>
          <w:lang w:val="en-GB"/>
        </w:rPr>
        <w:t>s</w:t>
      </w:r>
      <w:r w:rsidRPr="000D6202">
        <w:rPr>
          <w:rFonts w:ascii="Times New Roman" w:hAnsi="Times New Roman"/>
          <w:sz w:val="24"/>
          <w:szCs w:val="24"/>
          <w:lang w:val="en-GB"/>
        </w:rPr>
        <w:t>ation of public debt have also highlighted policymaker</w:t>
      </w:r>
      <w:r w:rsidR="00200073" w:rsidRPr="000D6202">
        <w:rPr>
          <w:rFonts w:ascii="Times New Roman" w:hAnsi="Times New Roman"/>
          <w:sz w:val="24"/>
          <w:szCs w:val="24"/>
          <w:lang w:val="en-GB"/>
        </w:rPr>
        <w:t>s</w:t>
      </w:r>
      <w:r w:rsidRPr="000D6202">
        <w:rPr>
          <w:rFonts w:ascii="Times New Roman" w:hAnsi="Times New Roman"/>
          <w:sz w:val="24"/>
          <w:szCs w:val="24"/>
          <w:lang w:val="en-GB"/>
        </w:rPr>
        <w:t>’ strategies of “governance through financial markets” (Lemoine</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2016</w:t>
      </w:r>
      <w:r w:rsidR="00200073" w:rsidRPr="000D6202">
        <w:rPr>
          <w:rFonts w:ascii="Times New Roman" w:hAnsi="Times New Roman"/>
          <w:sz w:val="24"/>
          <w:szCs w:val="24"/>
          <w:lang w:val="en-GB"/>
        </w:rPr>
        <w:t xml:space="preserve">; </w:t>
      </w:r>
      <w:r w:rsidRPr="000D6202">
        <w:rPr>
          <w:rFonts w:ascii="Times New Roman" w:hAnsi="Times New Roman"/>
          <w:sz w:val="24"/>
          <w:szCs w:val="24"/>
          <w:lang w:val="en-GB"/>
        </w:rPr>
        <w:t>Juven &amp; Lemoine</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2018). Interestingly, while public debt lies at the heart of central bank´s unconventional policies and Eurozone governance debates, there is </w:t>
      </w:r>
      <w:r w:rsidR="00200073" w:rsidRPr="000D6202">
        <w:rPr>
          <w:rFonts w:ascii="Times New Roman" w:hAnsi="Times New Roman"/>
          <w:sz w:val="24"/>
          <w:szCs w:val="24"/>
          <w:lang w:val="en-GB"/>
        </w:rPr>
        <w:t xml:space="preserve">as yet </w:t>
      </w:r>
      <w:r w:rsidRPr="000D6202">
        <w:rPr>
          <w:rFonts w:ascii="Times New Roman" w:hAnsi="Times New Roman"/>
          <w:sz w:val="24"/>
          <w:szCs w:val="24"/>
          <w:lang w:val="en-GB"/>
        </w:rPr>
        <w:t>no study tying both elements together.</w:t>
      </w:r>
    </w:p>
    <w:p w14:paraId="675DB513" w14:textId="02CA9F0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Second, researchers exploring banking regulatory reforms may pay closer attention to the role played by central banks in post-crisis times. Indeed, there are clear indications that they became key policy actors in national and supranational reforms thanks to their epistemic authority (Omarova</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2018). From this perspective, the analysis of central bank research production on financial activities and reforms might add a new piece </w:t>
      </w:r>
      <w:r w:rsidR="00200073" w:rsidRPr="000D6202">
        <w:rPr>
          <w:rFonts w:ascii="Times New Roman" w:hAnsi="Times New Roman"/>
          <w:sz w:val="24"/>
          <w:szCs w:val="24"/>
          <w:lang w:val="en-GB"/>
        </w:rPr>
        <w:t xml:space="preserve">to </w:t>
      </w:r>
      <w:r w:rsidRPr="000D6202">
        <w:rPr>
          <w:rFonts w:ascii="Times New Roman" w:hAnsi="Times New Roman"/>
          <w:sz w:val="24"/>
          <w:szCs w:val="24"/>
          <w:lang w:val="en-GB"/>
        </w:rPr>
        <w:t>the puzzle of post</w:t>
      </w:r>
      <w:r w:rsidR="00200073" w:rsidRPr="000D6202">
        <w:rPr>
          <w:rFonts w:ascii="Times New Roman" w:hAnsi="Times New Roman"/>
          <w:sz w:val="24"/>
          <w:szCs w:val="24"/>
          <w:lang w:val="en-GB"/>
        </w:rPr>
        <w:t>-</w:t>
      </w:r>
      <w:r w:rsidRPr="000D6202">
        <w:rPr>
          <w:rFonts w:ascii="Times New Roman" w:hAnsi="Times New Roman"/>
          <w:sz w:val="24"/>
          <w:szCs w:val="24"/>
          <w:lang w:val="en-GB"/>
        </w:rPr>
        <w:t>crisis financial regulation.</w:t>
      </w:r>
    </w:p>
    <w:p w14:paraId="10F87CE3" w14:textId="3FF6DAC4"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 xml:space="preserve">Third, with the integration of financial stability objectives within central banks, some historical doctrines of central banking </w:t>
      </w:r>
      <w:r w:rsidR="00200073" w:rsidRPr="000D6202">
        <w:rPr>
          <w:rFonts w:ascii="Times New Roman" w:hAnsi="Times New Roman"/>
          <w:sz w:val="24"/>
          <w:szCs w:val="24"/>
          <w:lang w:val="en-GB"/>
        </w:rPr>
        <w:t xml:space="preserve">are </w:t>
      </w:r>
      <w:r w:rsidRPr="000D6202">
        <w:rPr>
          <w:rFonts w:ascii="Times New Roman" w:hAnsi="Times New Roman"/>
          <w:sz w:val="24"/>
          <w:szCs w:val="24"/>
          <w:lang w:val="en-GB"/>
        </w:rPr>
        <w:t>start</w:t>
      </w:r>
      <w:r w:rsidR="00200073" w:rsidRPr="000D6202">
        <w:rPr>
          <w:rFonts w:ascii="Times New Roman" w:hAnsi="Times New Roman"/>
          <w:sz w:val="24"/>
          <w:szCs w:val="24"/>
          <w:lang w:val="en-GB"/>
        </w:rPr>
        <w:t>ing</w:t>
      </w:r>
      <w:r w:rsidRPr="000D6202">
        <w:rPr>
          <w:rFonts w:ascii="Times New Roman" w:hAnsi="Times New Roman"/>
          <w:sz w:val="24"/>
          <w:szCs w:val="24"/>
          <w:lang w:val="en-GB"/>
        </w:rPr>
        <w:t xml:space="preserve"> to be questioned again in the economic field. For example, the ongoing debate on the design of macro-prudential instruments is linked to the wider theoretical debate regarding two strategies to effectively deal with financial crises: “cleaning up afterwards” vs. “leaning against the wind” (Carré</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2015).</w:t>
      </w:r>
    </w:p>
    <w:p w14:paraId="27DBC1EB" w14:textId="77777777" w:rsidR="009B3C64" w:rsidRPr="000D6202" w:rsidRDefault="009B3C64" w:rsidP="009B3C64">
      <w:pPr>
        <w:pStyle w:val="Heading2"/>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Conclusion. The future of monetary policy</w:t>
      </w:r>
    </w:p>
    <w:p w14:paraId="34AB29B7" w14:textId="3242B8F0"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practice of central banking has changed dramatically since 2007. Central banks became key players in the stabili</w:t>
      </w:r>
      <w:r w:rsidR="00C9735D" w:rsidRPr="000D6202">
        <w:rPr>
          <w:rFonts w:ascii="Times New Roman" w:hAnsi="Times New Roman"/>
          <w:sz w:val="24"/>
          <w:szCs w:val="24"/>
          <w:lang w:val="en-GB"/>
        </w:rPr>
        <w:t>s</w:t>
      </w:r>
      <w:r w:rsidRPr="000D6202">
        <w:rPr>
          <w:rFonts w:ascii="Times New Roman" w:hAnsi="Times New Roman"/>
          <w:sz w:val="24"/>
          <w:szCs w:val="24"/>
          <w:lang w:val="en-GB"/>
        </w:rPr>
        <w:t xml:space="preserve">ation of financial and economic systems. By doing so, their policies strayed increasingly into the political realm and became more controversial. This new era of central banking has revived scholarly debates and vibrant future research perspectives on both dimensions of their independence: towards political and financial institutions. In conclusion, we would like to explain how these debates would take place within three scenarios on the future of central banking. </w:t>
      </w:r>
    </w:p>
    <w:p w14:paraId="256C270D" w14:textId="183D5309"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first scenario entails that</w:t>
      </w:r>
      <w:r w:rsidR="00200073" w:rsidRPr="000D6202">
        <w:rPr>
          <w:rFonts w:ascii="Times New Roman" w:hAnsi="Times New Roman"/>
          <w:sz w:val="24"/>
          <w:szCs w:val="24"/>
          <w:lang w:val="en-GB"/>
        </w:rPr>
        <w:t>,</w:t>
      </w:r>
      <w:r w:rsidRPr="000D6202">
        <w:rPr>
          <w:rFonts w:ascii="Times New Roman" w:hAnsi="Times New Roman"/>
          <w:sz w:val="24"/>
          <w:szCs w:val="24"/>
          <w:lang w:val="en-GB"/>
        </w:rPr>
        <w:t xml:space="preserve"> after ten year</w:t>
      </w:r>
      <w:r w:rsidR="00200073" w:rsidRPr="000D6202">
        <w:rPr>
          <w:rFonts w:ascii="Times New Roman" w:hAnsi="Times New Roman"/>
          <w:sz w:val="24"/>
          <w:szCs w:val="24"/>
          <w:lang w:val="en-GB"/>
        </w:rPr>
        <w:t>s</w:t>
      </w:r>
      <w:r w:rsidRPr="000D6202">
        <w:rPr>
          <w:rFonts w:ascii="Times New Roman" w:hAnsi="Times New Roman"/>
          <w:sz w:val="24"/>
          <w:szCs w:val="24"/>
          <w:lang w:val="en-GB"/>
        </w:rPr>
        <w:t xml:space="preserve"> of unconventional monetary policy, economic conditions would allow a return to the pre-crisis CBI template. Inflation rates would </w:t>
      </w:r>
      <w:r w:rsidR="00C9735D" w:rsidRPr="000D6202">
        <w:rPr>
          <w:rFonts w:ascii="Times New Roman" w:hAnsi="Times New Roman"/>
          <w:sz w:val="24"/>
          <w:szCs w:val="24"/>
          <w:lang w:val="en-GB"/>
        </w:rPr>
        <w:t xml:space="preserve">stabilise at </w:t>
      </w:r>
      <w:r w:rsidRPr="000D6202">
        <w:rPr>
          <w:rFonts w:ascii="Times New Roman" w:hAnsi="Times New Roman"/>
          <w:sz w:val="24"/>
          <w:szCs w:val="24"/>
          <w:lang w:val="en-GB"/>
        </w:rPr>
        <w:t>around 2% due to high employment</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and central banks would come back to their usual inflation targeting strategies with the manipulation of interest rates as their main policy instrument. CBI proponents and current central bankers</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arguably</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hope </w:t>
      </w:r>
      <w:r w:rsidR="00C9735D" w:rsidRPr="000D6202">
        <w:rPr>
          <w:rFonts w:ascii="Times New Roman" w:hAnsi="Times New Roman"/>
          <w:sz w:val="24"/>
          <w:szCs w:val="24"/>
          <w:lang w:val="en-GB"/>
        </w:rPr>
        <w:t xml:space="preserve">that </w:t>
      </w:r>
      <w:r w:rsidRPr="000D6202">
        <w:rPr>
          <w:rFonts w:ascii="Times New Roman" w:hAnsi="Times New Roman"/>
          <w:sz w:val="24"/>
          <w:szCs w:val="24"/>
          <w:lang w:val="en-GB"/>
        </w:rPr>
        <w:t xml:space="preserve">this scenario </w:t>
      </w:r>
      <w:r w:rsidR="00C9735D" w:rsidRPr="000D6202">
        <w:rPr>
          <w:rFonts w:ascii="Times New Roman" w:hAnsi="Times New Roman"/>
          <w:sz w:val="24"/>
          <w:szCs w:val="24"/>
          <w:lang w:val="en-GB"/>
        </w:rPr>
        <w:t xml:space="preserve">will </w:t>
      </w:r>
      <w:r w:rsidRPr="000D6202">
        <w:rPr>
          <w:rFonts w:ascii="Times New Roman" w:hAnsi="Times New Roman"/>
          <w:sz w:val="24"/>
          <w:szCs w:val="24"/>
          <w:lang w:val="en-GB"/>
        </w:rPr>
        <w:t>happen, as it would preserve their independence. In this case, the major puzzle for political economists would be to identify the conditions explaining the resilience of the CBI template.</w:t>
      </w:r>
    </w:p>
    <w:p w14:paraId="4122E1D5" w14:textId="41BDC972"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lastRenderedPageBreak/>
        <w:t>Under the second scenario, central banks become “behemoths”, i.e.</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very powerful institutions equipped with both monetary and macroprudential instruments and little democratic accountability. As in the 1990s, a new monetary ‘science’, driven by central banks’ powerful research staff, would develop in the economic field to </w:t>
      </w:r>
      <w:r w:rsidR="00C9735D" w:rsidRPr="000D6202">
        <w:rPr>
          <w:rFonts w:ascii="Times New Roman" w:hAnsi="Times New Roman"/>
          <w:sz w:val="24"/>
          <w:szCs w:val="24"/>
          <w:lang w:val="en-GB"/>
        </w:rPr>
        <w:t xml:space="preserve">legitimise </w:t>
      </w:r>
      <w:r w:rsidRPr="000D6202">
        <w:rPr>
          <w:rFonts w:ascii="Times New Roman" w:hAnsi="Times New Roman"/>
          <w:sz w:val="24"/>
          <w:szCs w:val="24"/>
          <w:lang w:val="en-GB"/>
        </w:rPr>
        <w:t>these changes. Financial institutions would not need to increase their efforts to capture central banks</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because the latter would already implement policies in favo</w:t>
      </w:r>
      <w:r w:rsidR="00C9735D" w:rsidRPr="000D6202">
        <w:rPr>
          <w:rFonts w:ascii="Times New Roman" w:hAnsi="Times New Roman"/>
          <w:sz w:val="24"/>
          <w:szCs w:val="24"/>
          <w:lang w:val="en-GB"/>
        </w:rPr>
        <w:t>u</w:t>
      </w:r>
      <w:r w:rsidRPr="000D6202">
        <w:rPr>
          <w:rFonts w:ascii="Times New Roman" w:hAnsi="Times New Roman"/>
          <w:sz w:val="24"/>
          <w:szCs w:val="24"/>
          <w:lang w:val="en-GB"/>
        </w:rPr>
        <w:t xml:space="preserve">r of their interests, given their exposure to cognitive capture. Such a scenario would </w:t>
      </w:r>
      <w:r w:rsidR="00C9735D" w:rsidRPr="000D6202">
        <w:rPr>
          <w:rFonts w:ascii="Times New Roman" w:hAnsi="Times New Roman"/>
          <w:sz w:val="24"/>
          <w:szCs w:val="24"/>
          <w:lang w:val="en-GB"/>
        </w:rPr>
        <w:t xml:space="preserve">both </w:t>
      </w:r>
      <w:r w:rsidRPr="000D6202">
        <w:rPr>
          <w:rFonts w:ascii="Times New Roman" w:hAnsi="Times New Roman"/>
          <w:sz w:val="24"/>
          <w:szCs w:val="24"/>
          <w:lang w:val="en-GB"/>
        </w:rPr>
        <w:t xml:space="preserve">confirm the research findings of and fuel the critical political economy and sociology literature focusing on post-democracy and </w:t>
      </w:r>
      <w:r w:rsidR="00C9735D" w:rsidRPr="000D6202">
        <w:rPr>
          <w:rFonts w:ascii="Times New Roman" w:hAnsi="Times New Roman"/>
          <w:sz w:val="24"/>
          <w:szCs w:val="24"/>
          <w:lang w:val="en-GB"/>
        </w:rPr>
        <w:t xml:space="preserve">depolitisation </w:t>
      </w:r>
      <w:r w:rsidRPr="000D6202">
        <w:rPr>
          <w:rFonts w:ascii="Times New Roman" w:hAnsi="Times New Roman"/>
          <w:sz w:val="24"/>
          <w:szCs w:val="24"/>
          <w:lang w:val="en-GB"/>
        </w:rPr>
        <w:t>processes.</w:t>
      </w:r>
    </w:p>
    <w:p w14:paraId="723E867C" w14:textId="28E5EE7C" w:rsidR="009B3C64" w:rsidRPr="000D6202" w:rsidRDefault="009B3C64"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The third scenario is inspired by the Japanese example. Unconventional policies, such as “quantitative easing”, become the new norm, given the permanent risk of deflation. Because of the distributive effects of such policies, political authorities would regain control over central bank activities, as feared by the central banking community. In other words, the coordination between central banks and other economic regulators would increase. Practical examples of such coordination include the creation of an ethical committee screening central banks</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purchases (such as in the case of the Norwegian Oil Fund), the financing of “strategic” activities defined by governments (such as in the cases of the Bank of Japan and the Bank of South Korea)</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and the financing of ecological transition (such as in the case of the People’s </w:t>
      </w:r>
      <w:r w:rsidR="00C9735D" w:rsidRPr="000D6202">
        <w:rPr>
          <w:rFonts w:ascii="Times New Roman" w:hAnsi="Times New Roman"/>
          <w:sz w:val="24"/>
          <w:szCs w:val="24"/>
          <w:lang w:val="en-GB"/>
        </w:rPr>
        <w:t xml:space="preserve">Bank </w:t>
      </w:r>
      <w:r w:rsidRPr="000D6202">
        <w:rPr>
          <w:rFonts w:ascii="Times New Roman" w:hAnsi="Times New Roman"/>
          <w:sz w:val="24"/>
          <w:szCs w:val="24"/>
          <w:lang w:val="en-GB"/>
        </w:rPr>
        <w:t>of China). Such developments would fuel debates in the political sciences</w:t>
      </w:r>
      <w:r w:rsidR="00C9735D" w:rsidRPr="000D6202">
        <w:rPr>
          <w:rFonts w:ascii="Times New Roman" w:hAnsi="Times New Roman"/>
          <w:sz w:val="24"/>
          <w:szCs w:val="24"/>
          <w:lang w:val="en-GB"/>
        </w:rPr>
        <w:t>’</w:t>
      </w:r>
      <w:r w:rsidRPr="000D6202">
        <w:rPr>
          <w:rFonts w:ascii="Times New Roman" w:hAnsi="Times New Roman"/>
          <w:sz w:val="24"/>
          <w:szCs w:val="24"/>
          <w:lang w:val="en-GB"/>
        </w:rPr>
        <w:t xml:space="preserve"> literature and increase the relevance of the distributive justice concerns developed in the field of financial ethics. </w:t>
      </w:r>
    </w:p>
    <w:p w14:paraId="0D2ED4A0" w14:textId="03C037DA" w:rsidR="00134602" w:rsidRPr="000D6202" w:rsidRDefault="00134602" w:rsidP="009B3C64">
      <w:pPr>
        <w:spacing w:before="100" w:beforeAutospacing="1" w:after="100" w:afterAutospacing="1" w:line="288" w:lineRule="auto"/>
        <w:jc w:val="both"/>
        <w:rPr>
          <w:rFonts w:ascii="Times New Roman" w:hAnsi="Times New Roman"/>
          <w:sz w:val="24"/>
          <w:szCs w:val="24"/>
          <w:lang w:val="en-GB"/>
        </w:rPr>
      </w:pPr>
      <w:r w:rsidRPr="000D6202">
        <w:rPr>
          <w:rFonts w:ascii="Times New Roman" w:hAnsi="Times New Roman"/>
          <w:sz w:val="24"/>
          <w:szCs w:val="24"/>
          <w:lang w:val="en-GB"/>
        </w:rPr>
        <w:t>Bibliography</w:t>
      </w:r>
    </w:p>
    <w:p w14:paraId="1194235B" w14:textId="3599F73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Admati, A. and Hellwig, M. (2014) </w:t>
      </w:r>
      <w:r w:rsidRPr="000D6202">
        <w:rPr>
          <w:rFonts w:ascii="Times New Roman" w:hAnsi="Times New Roman"/>
          <w:i/>
          <w:iCs/>
          <w:sz w:val="24"/>
          <w:szCs w:val="24"/>
          <w:lang w:val="en-GB"/>
        </w:rPr>
        <w:t>The Bankers’ New Clothes: What’s Wrong with Banking and What to Do about It</w:t>
      </w:r>
      <w:r w:rsidRPr="000D6202">
        <w:rPr>
          <w:rFonts w:ascii="Times New Roman" w:hAnsi="Times New Roman"/>
          <w:sz w:val="24"/>
          <w:szCs w:val="24"/>
          <w:lang w:val="en-GB"/>
        </w:rPr>
        <w:t xml:space="preserve">. </w:t>
      </w:r>
      <w:r w:rsidR="00F650C4" w:rsidRPr="000D6202">
        <w:rPr>
          <w:rFonts w:ascii="Times New Roman" w:hAnsi="Times New Roman"/>
          <w:sz w:val="24"/>
          <w:szCs w:val="24"/>
          <w:lang w:val="en-GB"/>
        </w:rPr>
        <w:t xml:space="preserve">Princeton: </w:t>
      </w:r>
      <w:r w:rsidRPr="000D6202">
        <w:rPr>
          <w:rFonts w:ascii="Times New Roman" w:hAnsi="Times New Roman"/>
          <w:sz w:val="24"/>
          <w:szCs w:val="24"/>
          <w:lang w:val="en-GB"/>
        </w:rPr>
        <w:t xml:space="preserve">Princeton University Press. </w:t>
      </w:r>
    </w:p>
    <w:p w14:paraId="7B1D1C84" w14:textId="77777777" w:rsidR="00DB3E05" w:rsidRPr="000D6202" w:rsidRDefault="00DB3E05" w:rsidP="00DB3E05">
      <w:pPr>
        <w:tabs>
          <w:tab w:val="decimal" w:pos="426"/>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Adolph, C. (2013) </w:t>
      </w:r>
      <w:r w:rsidRPr="000D6202">
        <w:rPr>
          <w:rFonts w:ascii="Times New Roman" w:hAnsi="Times New Roman"/>
          <w:i/>
          <w:sz w:val="24"/>
          <w:szCs w:val="24"/>
          <w:lang w:val="en-GB"/>
        </w:rPr>
        <w:t>Bankers, Bureaucrats, and Central Bank Politics</w:t>
      </w:r>
      <w:r w:rsidRPr="000D6202">
        <w:rPr>
          <w:rFonts w:ascii="Times New Roman" w:hAnsi="Times New Roman"/>
          <w:sz w:val="24"/>
          <w:szCs w:val="24"/>
          <w:lang w:val="en-GB"/>
        </w:rPr>
        <w:t>. Cambridge: Cambridge University Press.</w:t>
      </w:r>
    </w:p>
    <w:p w14:paraId="26DBF894" w14:textId="77777777" w:rsidR="00DB3E05" w:rsidRPr="000D6202" w:rsidRDefault="00DB3E05" w:rsidP="00DB3E05">
      <w:pPr>
        <w:tabs>
          <w:tab w:val="decimal" w:pos="426"/>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Aglietta, M., Ould Ahmed, P. and Ponsot, J-F. (2016</w:t>
      </w:r>
      <w:r w:rsidRPr="000D6202">
        <w:rPr>
          <w:rFonts w:ascii="Times New Roman" w:hAnsi="Times New Roman"/>
          <w:i/>
          <w:sz w:val="24"/>
          <w:szCs w:val="24"/>
          <w:lang w:val="en-GB"/>
        </w:rPr>
        <w:t>)  La monnaie entre dettes et souveraineté</w:t>
      </w:r>
      <w:r w:rsidRPr="000D6202">
        <w:rPr>
          <w:rFonts w:ascii="Times New Roman" w:hAnsi="Times New Roman"/>
          <w:sz w:val="24"/>
          <w:szCs w:val="24"/>
          <w:lang w:val="en-GB"/>
        </w:rPr>
        <w:t>. Paris : Editions Odile Jacob.</w:t>
      </w:r>
    </w:p>
    <w:p w14:paraId="5FDC0CB9" w14:textId="67D65EDE" w:rsidR="00DB3E05" w:rsidRPr="000D6202" w:rsidRDefault="00DB3E05" w:rsidP="00DB3E05">
      <w:pPr>
        <w:pStyle w:val="Heading1"/>
        <w:spacing w:before="0" w:line="240" w:lineRule="auto"/>
        <w:ind w:left="794" w:hanging="794"/>
        <w:contextualSpacing/>
        <w:jc w:val="both"/>
        <w:rPr>
          <w:rFonts w:ascii="Times New Roman" w:hAnsi="Times New Roman"/>
          <w:color w:val="auto"/>
          <w:sz w:val="24"/>
          <w:szCs w:val="24"/>
          <w:lang w:val="en-GB"/>
        </w:rPr>
      </w:pPr>
      <w:r w:rsidRPr="000D6202">
        <w:rPr>
          <w:rFonts w:ascii="Times New Roman" w:hAnsi="Times New Roman"/>
          <w:color w:val="auto"/>
          <w:sz w:val="24"/>
          <w:szCs w:val="24"/>
          <w:lang w:val="en-GB"/>
        </w:rPr>
        <w:t xml:space="preserve">Alesina, A. and Tabellini, G. (2007) </w:t>
      </w:r>
      <w:r w:rsidR="00F650C4" w:rsidRPr="000D6202">
        <w:rPr>
          <w:rFonts w:ascii="Times New Roman" w:hAnsi="Times New Roman"/>
          <w:color w:val="auto"/>
          <w:sz w:val="24"/>
          <w:szCs w:val="24"/>
          <w:lang w:val="en-GB"/>
        </w:rPr>
        <w:t>“</w:t>
      </w:r>
      <w:hyperlink r:id="rId8" w:history="1">
        <w:r w:rsidRPr="000D6202">
          <w:rPr>
            <w:rStyle w:val="Hyperlink"/>
            <w:rFonts w:ascii="Times New Roman" w:hAnsi="Times New Roman"/>
            <w:color w:val="auto"/>
            <w:sz w:val="24"/>
            <w:szCs w:val="24"/>
            <w:u w:val="none"/>
            <w:lang w:val="en-GB"/>
          </w:rPr>
          <w:t>Bureaucrats or Politicians? Part I: A Single Policy Task</w:t>
        </w:r>
      </w:hyperlink>
      <w:r w:rsidRPr="000D6202">
        <w:rPr>
          <w:rFonts w:ascii="Times New Roman" w:hAnsi="Times New Roman"/>
          <w:color w:val="auto"/>
          <w:sz w:val="24"/>
          <w:szCs w:val="24"/>
          <w:lang w:val="en-GB"/>
        </w:rPr>
        <w:t xml:space="preserve">. </w:t>
      </w:r>
      <w:r w:rsidRPr="000D6202">
        <w:rPr>
          <w:rFonts w:ascii="Times New Roman" w:hAnsi="Times New Roman"/>
          <w:i/>
          <w:color w:val="auto"/>
          <w:sz w:val="24"/>
          <w:szCs w:val="24"/>
          <w:lang w:val="en-GB"/>
        </w:rPr>
        <w:t>American Economic Review</w:t>
      </w:r>
      <w:r w:rsidRPr="000D6202">
        <w:rPr>
          <w:rFonts w:ascii="Times New Roman" w:hAnsi="Times New Roman"/>
          <w:color w:val="auto"/>
          <w:sz w:val="24"/>
          <w:szCs w:val="24"/>
          <w:lang w:val="en-GB"/>
        </w:rPr>
        <w:t xml:space="preserve"> 97: 169-179.</w:t>
      </w:r>
    </w:p>
    <w:p w14:paraId="17E0EF93" w14:textId="77777777" w:rsidR="00DB3E05" w:rsidRPr="000D6202" w:rsidRDefault="00DB3E05" w:rsidP="00DB3E05">
      <w:pPr>
        <w:spacing w:after="0" w:line="240" w:lineRule="auto"/>
        <w:ind w:left="794" w:hanging="794"/>
        <w:contextualSpacing/>
        <w:jc w:val="both"/>
        <w:rPr>
          <w:rFonts w:ascii="Times New Roman" w:hAnsi="Times New Roman"/>
          <w:i/>
          <w:iCs/>
          <w:sz w:val="24"/>
          <w:szCs w:val="24"/>
          <w:lang w:val="en-GB"/>
        </w:rPr>
      </w:pPr>
      <w:r w:rsidRPr="000D6202">
        <w:rPr>
          <w:rFonts w:ascii="Times New Roman" w:hAnsi="Times New Roman"/>
          <w:sz w:val="24"/>
          <w:szCs w:val="24"/>
          <w:lang w:val="en-GB"/>
        </w:rPr>
        <w:t xml:space="preserve">Alvaredo, F., Chancel, L., Piketty, T., Saez, E. and Zucman, G. (2018) </w:t>
      </w:r>
      <w:r w:rsidRPr="000D6202">
        <w:rPr>
          <w:rFonts w:ascii="Times New Roman" w:hAnsi="Times New Roman"/>
          <w:i/>
          <w:sz w:val="24"/>
          <w:szCs w:val="24"/>
          <w:lang w:val="en-GB"/>
        </w:rPr>
        <w:t>World Inequality Report 2018</w:t>
      </w:r>
      <w:r w:rsidRPr="000D6202">
        <w:rPr>
          <w:rFonts w:ascii="Times New Roman" w:hAnsi="Times New Roman"/>
          <w:sz w:val="24"/>
          <w:szCs w:val="24"/>
          <w:lang w:val="en-GB"/>
        </w:rPr>
        <w:t xml:space="preserve">. </w:t>
      </w:r>
      <w:r w:rsidRPr="000D6202">
        <w:rPr>
          <w:rFonts w:ascii="Times New Roman" w:hAnsi="Times New Roman"/>
          <w:iCs/>
          <w:sz w:val="24"/>
          <w:szCs w:val="24"/>
          <w:lang w:val="en-GB"/>
        </w:rPr>
        <w:t>The World Inequality Lab</w:t>
      </w:r>
      <w:r w:rsidRPr="000D6202">
        <w:rPr>
          <w:rFonts w:ascii="Times New Roman" w:hAnsi="Times New Roman"/>
          <w:i/>
          <w:iCs/>
          <w:sz w:val="24"/>
          <w:szCs w:val="24"/>
          <w:lang w:val="en-GB"/>
        </w:rPr>
        <w:t>.</w:t>
      </w:r>
    </w:p>
    <w:p w14:paraId="2B539021" w14:textId="5968CAFC"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Baker, A., 2010. </w:t>
      </w:r>
      <w:r w:rsidR="001870CD" w:rsidRPr="000D6202">
        <w:rPr>
          <w:rFonts w:ascii="Times New Roman" w:hAnsi="Times New Roman"/>
          <w:sz w:val="24"/>
          <w:szCs w:val="24"/>
          <w:lang w:val="en-GB"/>
        </w:rPr>
        <w:t>“</w:t>
      </w:r>
      <w:r w:rsidRPr="000D6202">
        <w:rPr>
          <w:rFonts w:ascii="Times New Roman" w:hAnsi="Times New Roman"/>
          <w:sz w:val="24"/>
          <w:szCs w:val="24"/>
          <w:lang w:val="en-GB"/>
        </w:rPr>
        <w:t>Restraining regulatory capture? Anglo-America, crisis politics and trajectories of change in global financial governance</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International Affairs</w:t>
      </w:r>
      <w:r w:rsidRPr="000D6202">
        <w:rPr>
          <w:rFonts w:ascii="Times New Roman" w:hAnsi="Times New Roman"/>
          <w:sz w:val="24"/>
          <w:szCs w:val="24"/>
          <w:lang w:val="en-GB"/>
        </w:rPr>
        <w:t xml:space="preserve"> 86, 647–663. </w:t>
      </w:r>
    </w:p>
    <w:p w14:paraId="3FCCFE88" w14:textId="01F0CB83"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Ball, L., Howat, J. and Stansbury. A. (2016) </w:t>
      </w:r>
      <w:r w:rsidR="001870CD" w:rsidRPr="000D6202">
        <w:rPr>
          <w:rFonts w:ascii="Times New Roman" w:hAnsi="Times New Roman"/>
          <w:sz w:val="24"/>
          <w:szCs w:val="24"/>
          <w:lang w:val="en-GB"/>
        </w:rPr>
        <w:t>“</w:t>
      </w:r>
      <w:r w:rsidRPr="000D6202">
        <w:rPr>
          <w:rFonts w:ascii="Times New Roman" w:hAnsi="Times New Roman"/>
          <w:sz w:val="24"/>
          <w:szCs w:val="24"/>
          <w:lang w:val="en-GB"/>
        </w:rPr>
        <w:t>Central Bank Independence Revisited: After the Financial Crisis, What Should a Model Central Bank Look Like</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M-RCBG Associate Working Paper Series</w:t>
      </w:r>
      <w:r w:rsidRPr="000D6202">
        <w:rPr>
          <w:rFonts w:ascii="Times New Roman" w:hAnsi="Times New Roman"/>
          <w:sz w:val="24"/>
          <w:szCs w:val="24"/>
          <w:lang w:val="en-GB"/>
        </w:rPr>
        <w:t>, no. 67.</w:t>
      </w:r>
    </w:p>
    <w:p w14:paraId="364D7841" w14:textId="57B8BF69"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Barro, R. J. and Gordon, D. B. (1983) </w:t>
      </w:r>
      <w:r w:rsidR="001870CD" w:rsidRPr="000D6202">
        <w:rPr>
          <w:rFonts w:ascii="Times New Roman" w:hAnsi="Times New Roman"/>
          <w:sz w:val="24"/>
          <w:szCs w:val="24"/>
          <w:lang w:val="en-GB"/>
        </w:rPr>
        <w:t>“</w:t>
      </w:r>
      <w:r w:rsidRPr="000D6202">
        <w:rPr>
          <w:rFonts w:ascii="Times New Roman" w:hAnsi="Times New Roman"/>
          <w:sz w:val="24"/>
          <w:szCs w:val="24"/>
          <w:lang w:val="en-GB"/>
        </w:rPr>
        <w:t>Rules, Discretion and Reputation in a Model of Monetary Policy</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Monetary Economics</w:t>
      </w:r>
      <w:r w:rsidRPr="000D6202">
        <w:rPr>
          <w:rFonts w:ascii="Times New Roman" w:hAnsi="Times New Roman"/>
          <w:sz w:val="24"/>
          <w:szCs w:val="24"/>
          <w:lang w:val="en-GB"/>
        </w:rPr>
        <w:t xml:space="preserve"> 12 (1): 101–121.</w:t>
      </w:r>
    </w:p>
    <w:p w14:paraId="550B2F14" w14:textId="72BE57E3"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Bell, V., Joyce, M., Liu, Z, and Young, C. (2012) </w:t>
      </w:r>
      <w:r w:rsidR="001870CD" w:rsidRPr="000D6202">
        <w:rPr>
          <w:rFonts w:ascii="Times New Roman" w:hAnsi="Times New Roman"/>
          <w:sz w:val="24"/>
          <w:szCs w:val="24"/>
          <w:lang w:val="en-GB"/>
        </w:rPr>
        <w:t>“</w:t>
      </w:r>
      <w:r w:rsidRPr="000D6202">
        <w:rPr>
          <w:rFonts w:ascii="Times New Roman" w:hAnsi="Times New Roman"/>
          <w:sz w:val="24"/>
          <w:szCs w:val="24"/>
          <w:lang w:val="en-GB"/>
        </w:rPr>
        <w:t>The Distributional Effects of Asset Purchases</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Bank of England Quarterly Bulletin</w:t>
      </w:r>
      <w:r w:rsidRPr="000D6202">
        <w:rPr>
          <w:rFonts w:ascii="Times New Roman" w:hAnsi="Times New Roman"/>
          <w:sz w:val="24"/>
          <w:szCs w:val="24"/>
          <w:lang w:val="en-GB"/>
        </w:rPr>
        <w:t xml:space="preserve"> 52(3): 254-266. </w:t>
      </w:r>
    </w:p>
    <w:p w14:paraId="2919E776" w14:textId="32FF4B1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Bernanke, B. (2013) </w:t>
      </w:r>
      <w:r w:rsidR="001870CD" w:rsidRPr="000D6202">
        <w:rPr>
          <w:rFonts w:ascii="Times New Roman" w:hAnsi="Times New Roman"/>
          <w:sz w:val="24"/>
          <w:szCs w:val="24"/>
          <w:lang w:val="en-GB"/>
        </w:rPr>
        <w:t>“</w:t>
      </w:r>
      <w:r w:rsidRPr="000D6202">
        <w:rPr>
          <w:rFonts w:ascii="Times New Roman" w:hAnsi="Times New Roman"/>
          <w:sz w:val="24"/>
          <w:szCs w:val="24"/>
          <w:lang w:val="en-GB"/>
        </w:rPr>
        <w:t>A century of U.S. Central Banking: Goals, Frameworks, Accountability</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Journal of Economic Perspectives</w:t>
      </w:r>
      <w:r w:rsidRPr="000D6202">
        <w:rPr>
          <w:rFonts w:ascii="Times New Roman" w:hAnsi="Times New Roman"/>
          <w:sz w:val="24"/>
          <w:szCs w:val="24"/>
          <w:lang w:val="en-GB"/>
        </w:rPr>
        <w:t xml:space="preserve"> 27(4): 3-16.</w:t>
      </w:r>
    </w:p>
    <w:p w14:paraId="61D1617F" w14:textId="0DF61FF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lastRenderedPageBreak/>
        <w:t xml:space="preserve">Best, J., 2016. </w:t>
      </w:r>
      <w:r w:rsidR="001870CD" w:rsidRPr="000D6202">
        <w:rPr>
          <w:rFonts w:ascii="Times New Roman" w:hAnsi="Times New Roman"/>
          <w:sz w:val="24"/>
          <w:szCs w:val="24"/>
          <w:lang w:val="en-GB"/>
        </w:rPr>
        <w:t>“</w:t>
      </w:r>
      <w:r w:rsidRPr="000D6202">
        <w:rPr>
          <w:rFonts w:ascii="Times New Roman" w:hAnsi="Times New Roman"/>
          <w:sz w:val="24"/>
          <w:szCs w:val="24"/>
          <w:lang w:val="en-GB"/>
        </w:rPr>
        <w:t>Rethinking Central Bank Accountability in Uncertain Times</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Ethics &amp; International Affairs</w:t>
      </w:r>
      <w:r w:rsidRPr="000D6202">
        <w:rPr>
          <w:rFonts w:ascii="Times New Roman" w:hAnsi="Times New Roman"/>
          <w:sz w:val="24"/>
          <w:szCs w:val="24"/>
          <w:lang w:val="en-GB"/>
        </w:rPr>
        <w:t xml:space="preserve"> 30, 215–232.</w:t>
      </w:r>
    </w:p>
    <w:p w14:paraId="389637DA" w14:textId="08FF2A8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Binder, S. and Spindel, M. (2017) </w:t>
      </w:r>
      <w:r w:rsidRPr="000D6202">
        <w:rPr>
          <w:rFonts w:ascii="Times New Roman" w:hAnsi="Times New Roman"/>
          <w:i/>
          <w:iCs/>
          <w:sz w:val="24"/>
          <w:szCs w:val="24"/>
          <w:lang w:val="en-GB"/>
        </w:rPr>
        <w:t>The Myth of Independence: How Congress Governs the Federal Reserve</w:t>
      </w:r>
      <w:r w:rsidRPr="000D6202">
        <w:rPr>
          <w:rFonts w:ascii="Times New Roman" w:hAnsi="Times New Roman"/>
          <w:sz w:val="24"/>
          <w:szCs w:val="24"/>
          <w:lang w:val="en-GB"/>
        </w:rPr>
        <w:t>.</w:t>
      </w:r>
      <w:r w:rsidR="001870CD" w:rsidRPr="000D6202">
        <w:rPr>
          <w:rFonts w:ascii="Times New Roman" w:hAnsi="Times New Roman"/>
          <w:sz w:val="24"/>
          <w:szCs w:val="24"/>
          <w:lang w:val="en-GB"/>
        </w:rPr>
        <w:t xml:space="preserve"> </w:t>
      </w:r>
      <w:r w:rsidRPr="000D6202">
        <w:rPr>
          <w:rFonts w:ascii="Times New Roman" w:hAnsi="Times New Roman"/>
          <w:sz w:val="24"/>
          <w:szCs w:val="24"/>
          <w:lang w:val="en-GB"/>
        </w:rPr>
        <w:t xml:space="preserve"> </w:t>
      </w:r>
      <w:r w:rsidR="001870CD" w:rsidRPr="000D6202">
        <w:rPr>
          <w:rFonts w:ascii="Times New Roman" w:hAnsi="Times New Roman"/>
          <w:sz w:val="24"/>
          <w:szCs w:val="24"/>
          <w:lang w:val="en-GB"/>
        </w:rPr>
        <w:t xml:space="preserve">Princeton: </w:t>
      </w:r>
      <w:r w:rsidRPr="000D6202">
        <w:rPr>
          <w:rFonts w:ascii="Times New Roman" w:hAnsi="Times New Roman"/>
          <w:sz w:val="24"/>
          <w:szCs w:val="24"/>
          <w:lang w:val="en-GB"/>
        </w:rPr>
        <w:t>Princeton University Press.</w:t>
      </w:r>
    </w:p>
    <w:p w14:paraId="75E9838E" w14:textId="291897E9" w:rsidR="00DB3E05" w:rsidRPr="000D6202" w:rsidRDefault="00DB3E05" w:rsidP="00DB3E05">
      <w:pPr>
        <w:spacing w:after="0" w:line="240" w:lineRule="auto"/>
        <w:ind w:left="794" w:hanging="794"/>
        <w:contextualSpacing/>
        <w:jc w:val="both"/>
        <w:rPr>
          <w:rFonts w:ascii="Times New Roman" w:hAnsi="Times New Roman"/>
          <w:i/>
          <w:sz w:val="24"/>
          <w:szCs w:val="24"/>
          <w:lang w:val="en-GB"/>
        </w:rPr>
      </w:pPr>
      <w:r w:rsidRPr="000D6202">
        <w:rPr>
          <w:rFonts w:ascii="Times New Roman" w:hAnsi="Times New Roman"/>
          <w:sz w:val="24"/>
          <w:szCs w:val="24"/>
          <w:lang w:val="en-GB"/>
        </w:rPr>
        <w:t xml:space="preserve">Blinder, A. S., Ehrmann, M. de Haan, J. and Jansen, D-J. (2016) </w:t>
      </w:r>
      <w:r w:rsidR="001870CD" w:rsidRPr="000D6202">
        <w:rPr>
          <w:rFonts w:ascii="Times New Roman" w:hAnsi="Times New Roman"/>
          <w:sz w:val="24"/>
          <w:szCs w:val="24"/>
          <w:lang w:val="en-GB"/>
        </w:rPr>
        <w:t>“</w:t>
      </w:r>
      <w:r w:rsidRPr="000D6202">
        <w:rPr>
          <w:rFonts w:ascii="Times New Roman" w:hAnsi="Times New Roman"/>
          <w:sz w:val="24"/>
          <w:szCs w:val="24"/>
          <w:lang w:val="en-GB"/>
        </w:rPr>
        <w:t>Necessity as the Mother of Invention: Monetary Policy after the Crisis</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Working Paper 22735. </w:t>
      </w:r>
      <w:r w:rsidRPr="000D6202">
        <w:rPr>
          <w:rFonts w:ascii="Times New Roman" w:hAnsi="Times New Roman"/>
          <w:i/>
          <w:sz w:val="24"/>
          <w:szCs w:val="24"/>
          <w:lang w:val="en-GB"/>
        </w:rPr>
        <w:t>National Bureau of Economic Research.</w:t>
      </w:r>
    </w:p>
    <w:p w14:paraId="1A68C4DE" w14:textId="7904D89B"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Blinder, A.S. (2013)</w:t>
      </w:r>
      <w:r w:rsidR="001870CD" w:rsidRPr="000D6202">
        <w:rPr>
          <w:rFonts w:ascii="Times New Roman" w:hAnsi="Times New Roman"/>
          <w:sz w:val="24"/>
          <w:szCs w:val="24"/>
          <w:lang w:val="en-GB"/>
        </w:rPr>
        <w:t xml:space="preserve"> “</w:t>
      </w:r>
      <w:r w:rsidRPr="000D6202">
        <w:rPr>
          <w:rFonts w:ascii="Times New Roman" w:hAnsi="Times New Roman"/>
          <w:sz w:val="24"/>
          <w:szCs w:val="24"/>
          <w:lang w:val="en-GB"/>
        </w:rPr>
        <w:t>Global Policy Perspectives Central Bank Independence and Credibility During and After a Crisis</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Proceedings - Economic Policy Symposium - Jackson Hole, Federal Reserve Bank of Kansas City</w:t>
      </w:r>
      <w:r w:rsidRPr="000D6202">
        <w:rPr>
          <w:rFonts w:ascii="Times New Roman" w:hAnsi="Times New Roman"/>
          <w:sz w:val="24"/>
          <w:szCs w:val="24"/>
          <w:lang w:val="en-GB"/>
        </w:rPr>
        <w:t>, pp 483-491.</w:t>
      </w:r>
    </w:p>
    <w:p w14:paraId="405529E0" w14:textId="3F36DE64"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Blinder, A.S. (2016) </w:t>
      </w:r>
      <w:r w:rsidR="001870CD" w:rsidRPr="000D6202">
        <w:rPr>
          <w:rFonts w:ascii="Times New Roman" w:hAnsi="Times New Roman"/>
          <w:sz w:val="24"/>
          <w:szCs w:val="24"/>
          <w:lang w:val="en-GB"/>
        </w:rPr>
        <w:t>“</w:t>
      </w:r>
      <w:r w:rsidRPr="000D6202">
        <w:rPr>
          <w:rFonts w:ascii="Times New Roman" w:hAnsi="Times New Roman"/>
          <w:sz w:val="24"/>
          <w:szCs w:val="24"/>
          <w:lang w:val="en-GB"/>
        </w:rPr>
        <w:t>Financial Entropy and the Optimality of Over-Regulation</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In: D. Evanoff, A. Haldane, and G. Kaufman (eds.). </w:t>
      </w:r>
      <w:r w:rsidRPr="000D6202">
        <w:rPr>
          <w:rFonts w:ascii="Times New Roman" w:hAnsi="Times New Roman"/>
          <w:i/>
          <w:sz w:val="24"/>
          <w:szCs w:val="24"/>
          <w:lang w:val="en-GB"/>
        </w:rPr>
        <w:t>The New International Financial System: Analyzing the Cumulative Impact of Regulatory Reform.</w:t>
      </w:r>
      <w:r w:rsidRPr="000D6202">
        <w:rPr>
          <w:rFonts w:ascii="Times New Roman" w:hAnsi="Times New Roman"/>
          <w:sz w:val="24"/>
          <w:szCs w:val="24"/>
          <w:lang w:val="en-GB"/>
        </w:rPr>
        <w:t xml:space="preserve"> World Scientific, 2016, pp. 3-35.</w:t>
      </w:r>
    </w:p>
    <w:p w14:paraId="1E345D2E" w14:textId="77777777" w:rsidR="00DB3E05" w:rsidRPr="000D6202" w:rsidRDefault="00DB3E05" w:rsidP="00DB3E05">
      <w:pPr>
        <w:shd w:val="clear" w:color="auto" w:fill="FFFFFF"/>
        <w:spacing w:after="0" w:line="240" w:lineRule="auto"/>
        <w:ind w:left="794" w:hanging="794"/>
        <w:contextualSpacing/>
        <w:jc w:val="both"/>
        <w:textAlignment w:val="baseline"/>
        <w:outlineLvl w:val="0"/>
        <w:rPr>
          <w:rFonts w:ascii="Times New Roman" w:eastAsia="Times New Roman" w:hAnsi="Times New Roman"/>
          <w:bCs/>
          <w:kern w:val="36"/>
          <w:sz w:val="24"/>
          <w:szCs w:val="24"/>
          <w:lang w:val="en-GB" w:eastAsia="fr-FR"/>
        </w:rPr>
      </w:pPr>
      <w:r w:rsidRPr="000D6202">
        <w:rPr>
          <w:rFonts w:ascii="Times New Roman" w:eastAsia="Times New Roman" w:hAnsi="Times New Roman"/>
          <w:bCs/>
          <w:kern w:val="36"/>
          <w:sz w:val="24"/>
          <w:szCs w:val="24"/>
          <w:lang w:val="en-GB" w:eastAsia="fr-FR"/>
        </w:rPr>
        <w:t xml:space="preserve">Bordo, M. and Roberds, W.  (2013) </w:t>
      </w:r>
      <w:r w:rsidRPr="000D6202">
        <w:rPr>
          <w:rFonts w:ascii="Times New Roman" w:eastAsia="Times New Roman" w:hAnsi="Times New Roman"/>
          <w:bCs/>
          <w:i/>
          <w:iCs/>
          <w:kern w:val="36"/>
          <w:sz w:val="24"/>
          <w:szCs w:val="24"/>
          <w:lang w:val="en-GB" w:eastAsia="fr-FR"/>
        </w:rPr>
        <w:t>The Origins, History, and Future of the Federal Reserve: A Return to Jekyll Island</w:t>
      </w:r>
      <w:r w:rsidRPr="000D6202">
        <w:rPr>
          <w:rFonts w:ascii="Times New Roman" w:eastAsia="Times New Roman" w:hAnsi="Times New Roman"/>
          <w:bCs/>
          <w:i/>
          <w:kern w:val="36"/>
          <w:sz w:val="24"/>
          <w:szCs w:val="24"/>
          <w:lang w:val="en-GB" w:eastAsia="fr-FR"/>
        </w:rPr>
        <w:t>.</w:t>
      </w:r>
      <w:r w:rsidRPr="000D6202">
        <w:rPr>
          <w:rFonts w:ascii="Times New Roman" w:eastAsia="Times New Roman" w:hAnsi="Times New Roman"/>
          <w:bCs/>
          <w:kern w:val="36"/>
          <w:sz w:val="24"/>
          <w:szCs w:val="24"/>
          <w:lang w:val="en-GB" w:eastAsia="fr-FR"/>
        </w:rPr>
        <w:t xml:space="preserve"> New York: Cambridge University Press.</w:t>
      </w:r>
    </w:p>
    <w:p w14:paraId="59E76947" w14:textId="4024098E" w:rsidR="00DB3E05" w:rsidRPr="000D6202" w:rsidRDefault="00DB3E05" w:rsidP="00DB3E05">
      <w:pPr>
        <w:spacing w:after="0" w:line="240" w:lineRule="auto"/>
        <w:ind w:left="794" w:hanging="794"/>
        <w:contextualSpacing/>
        <w:jc w:val="both"/>
        <w:rPr>
          <w:rFonts w:ascii="Times New Roman" w:eastAsia="Times New Roman" w:hAnsi="Times New Roman"/>
          <w:i/>
          <w:sz w:val="24"/>
          <w:szCs w:val="24"/>
          <w:lang w:val="en-GB"/>
        </w:rPr>
      </w:pPr>
      <w:r w:rsidRPr="000D6202">
        <w:rPr>
          <w:rFonts w:ascii="Times New Roman" w:hAnsi="Times New Roman"/>
          <w:sz w:val="24"/>
          <w:szCs w:val="24"/>
          <w:lang w:val="en-GB"/>
        </w:rPr>
        <w:t xml:space="preserve">Borio, C. (2011) </w:t>
      </w:r>
      <w:r w:rsidR="001870CD" w:rsidRPr="000D6202">
        <w:rPr>
          <w:rFonts w:ascii="Times New Roman" w:hAnsi="Times New Roman"/>
          <w:sz w:val="24"/>
          <w:szCs w:val="24"/>
          <w:lang w:val="en-GB"/>
        </w:rPr>
        <w:t>“</w:t>
      </w:r>
      <w:r w:rsidRPr="000D6202">
        <w:rPr>
          <w:rFonts w:ascii="Times New Roman" w:hAnsi="Times New Roman"/>
          <w:sz w:val="24"/>
          <w:szCs w:val="24"/>
          <w:lang w:val="en-GB"/>
        </w:rPr>
        <w:t>Central banking post-crisis: What compass for unchartered waters?</w:t>
      </w:r>
      <w:r w:rsidR="001870CD" w:rsidRPr="000D6202">
        <w:rPr>
          <w:rFonts w:ascii="Times New Roman" w:hAnsi="Times New Roman"/>
          <w:sz w:val="24"/>
          <w:szCs w:val="24"/>
          <w:lang w:val="en-GB"/>
        </w:rPr>
        <w:t xml:space="preserve">”, </w:t>
      </w:r>
      <w:r w:rsidRPr="000D6202">
        <w:rPr>
          <w:rFonts w:ascii="Times New Roman" w:hAnsi="Times New Roman"/>
          <w:i/>
          <w:sz w:val="24"/>
          <w:szCs w:val="24"/>
          <w:lang w:val="en-GB"/>
        </w:rPr>
        <w:t>BIS Working Paper.</w:t>
      </w:r>
    </w:p>
    <w:p w14:paraId="1DBEB225" w14:textId="7F82B459"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Bowman, A., Erturk, I. Froud, J. and Johal, S. (2012) </w:t>
      </w:r>
      <w:r w:rsidR="001870CD" w:rsidRPr="000D6202">
        <w:rPr>
          <w:rFonts w:ascii="Times New Roman" w:hAnsi="Times New Roman"/>
          <w:sz w:val="24"/>
          <w:szCs w:val="24"/>
          <w:lang w:val="en-GB"/>
        </w:rPr>
        <w:t>“</w:t>
      </w:r>
      <w:r w:rsidRPr="000D6202">
        <w:rPr>
          <w:rFonts w:ascii="Times New Roman" w:hAnsi="Times New Roman"/>
          <w:sz w:val="24"/>
          <w:szCs w:val="24"/>
          <w:lang w:val="en-GB"/>
        </w:rPr>
        <w:t>Central Bank-Led Capitalism</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Seattle UL Rev.</w:t>
      </w:r>
      <w:r w:rsidRPr="000D6202">
        <w:rPr>
          <w:rFonts w:ascii="Times New Roman" w:hAnsi="Times New Roman"/>
          <w:i/>
          <w:sz w:val="24"/>
          <w:szCs w:val="24"/>
          <w:lang w:val="en-GB"/>
        </w:rPr>
        <w:t xml:space="preserve"> </w:t>
      </w:r>
      <w:r w:rsidRPr="000D6202">
        <w:rPr>
          <w:rFonts w:ascii="Times New Roman" w:hAnsi="Times New Roman"/>
          <w:sz w:val="24"/>
          <w:szCs w:val="24"/>
          <w:lang w:val="en-GB"/>
        </w:rPr>
        <w:t>36(2): 455.</w:t>
      </w:r>
    </w:p>
    <w:p w14:paraId="37C4F7C1" w14:textId="72633EC1" w:rsidR="00DB3E05" w:rsidRPr="000D6202" w:rsidRDefault="00DB3E05" w:rsidP="00DB3E05">
      <w:pPr>
        <w:shd w:val="clear" w:color="auto" w:fill="FFFFFF"/>
        <w:spacing w:after="0" w:line="240" w:lineRule="auto"/>
        <w:ind w:left="794" w:hanging="794"/>
        <w:contextualSpacing/>
        <w:jc w:val="both"/>
        <w:textAlignment w:val="baseline"/>
        <w:outlineLvl w:val="0"/>
        <w:rPr>
          <w:rFonts w:ascii="Times New Roman" w:hAnsi="Times New Roman"/>
          <w:sz w:val="24"/>
          <w:szCs w:val="24"/>
          <w:lang w:val="en-GB"/>
        </w:rPr>
      </w:pPr>
      <w:r w:rsidRPr="000D6202">
        <w:rPr>
          <w:rFonts w:ascii="Times New Roman" w:hAnsi="Times New Roman"/>
          <w:sz w:val="24"/>
          <w:szCs w:val="24"/>
          <w:lang w:val="en-GB"/>
        </w:rPr>
        <w:t xml:space="preserve">Boyer, P. and Ponce, J. (2012) </w:t>
      </w:r>
      <w:r w:rsidR="001870CD" w:rsidRPr="000D6202">
        <w:rPr>
          <w:rFonts w:ascii="Times New Roman" w:hAnsi="Times New Roman"/>
          <w:sz w:val="24"/>
          <w:szCs w:val="24"/>
          <w:lang w:val="en-GB"/>
        </w:rPr>
        <w:t>“</w:t>
      </w:r>
      <w:r w:rsidRPr="000D6202">
        <w:rPr>
          <w:rFonts w:ascii="Times New Roman" w:hAnsi="Times New Roman"/>
          <w:sz w:val="24"/>
          <w:szCs w:val="24"/>
          <w:lang w:val="en-GB"/>
        </w:rPr>
        <w:t>Regulatory Capture and Banking Supervision Reform</w:t>
      </w:r>
      <w:r w:rsidR="001870CD" w:rsidRPr="000D6202">
        <w:rPr>
          <w:rFonts w:ascii="Times New Roman" w:hAnsi="Times New Roman"/>
          <w:i/>
          <w:sz w:val="24"/>
          <w:szCs w:val="24"/>
          <w:lang w:val="en-GB"/>
        </w:rPr>
        <w:t>”</w:t>
      </w:r>
      <w:r w:rsidRPr="000D6202">
        <w:rPr>
          <w:rFonts w:ascii="Times New Roman" w:hAnsi="Times New Roman"/>
          <w:i/>
          <w:sz w:val="24"/>
          <w:szCs w:val="24"/>
          <w:lang w:val="en-GB"/>
        </w:rPr>
        <w:t>. Journal of Financial Stability</w:t>
      </w:r>
      <w:r w:rsidRPr="000D6202">
        <w:rPr>
          <w:rFonts w:ascii="Times New Roman" w:hAnsi="Times New Roman"/>
          <w:sz w:val="24"/>
          <w:szCs w:val="24"/>
          <w:lang w:val="en-GB"/>
        </w:rPr>
        <w:t>, 8, no. 3: 206-17.</w:t>
      </w:r>
    </w:p>
    <w:p w14:paraId="1A617770" w14:textId="5F8BD1A9"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Braun, B. (2018) </w:t>
      </w:r>
      <w:r w:rsidR="001870CD" w:rsidRPr="000D6202">
        <w:rPr>
          <w:rFonts w:ascii="Times New Roman" w:hAnsi="Times New Roman"/>
          <w:sz w:val="24"/>
          <w:szCs w:val="24"/>
          <w:lang w:val="en-GB"/>
        </w:rPr>
        <w:t>“</w:t>
      </w:r>
      <w:r w:rsidRPr="000D6202">
        <w:rPr>
          <w:rFonts w:ascii="Times New Roman" w:hAnsi="Times New Roman"/>
          <w:sz w:val="24"/>
          <w:szCs w:val="24"/>
          <w:lang w:val="en-GB"/>
        </w:rPr>
        <w:t>Central Banking and the Infrastructural Power of Finance: The Case of ECB Support for Repo and Securitization Markets</w:t>
      </w:r>
      <w:r w:rsidR="001870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Socio-Economic Review</w:t>
      </w:r>
      <w:r w:rsidR="001870CD" w:rsidRPr="000D6202">
        <w:rPr>
          <w:rFonts w:ascii="Times New Roman" w:hAnsi="Times New Roman"/>
          <w:sz w:val="24"/>
          <w:szCs w:val="24"/>
          <w:lang w:val="en-GB"/>
        </w:rPr>
        <w:t>; online preview</w:t>
      </w:r>
    </w:p>
    <w:p w14:paraId="282FD2BD" w14:textId="36290DD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Brunnermeier, M. K., and Sannikov, Y. (2016) </w:t>
      </w:r>
      <w:r w:rsidR="00B359C0" w:rsidRPr="000D6202">
        <w:rPr>
          <w:rFonts w:ascii="Times New Roman" w:hAnsi="Times New Roman"/>
          <w:sz w:val="24"/>
          <w:szCs w:val="24"/>
          <w:lang w:val="en-GB"/>
        </w:rPr>
        <w:t>“</w:t>
      </w:r>
      <w:r w:rsidRPr="000D6202">
        <w:rPr>
          <w:rFonts w:ascii="Times New Roman" w:hAnsi="Times New Roman"/>
          <w:sz w:val="24"/>
          <w:szCs w:val="24"/>
          <w:lang w:val="en-GB"/>
        </w:rPr>
        <w:t>The I Theory of Money</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National Bureau of Economic Research</w:t>
      </w:r>
      <w:r w:rsidRPr="000D6202">
        <w:rPr>
          <w:rFonts w:ascii="Times New Roman" w:hAnsi="Times New Roman"/>
          <w:sz w:val="24"/>
          <w:szCs w:val="24"/>
          <w:lang w:val="en-GB"/>
        </w:rPr>
        <w:t>. Working paper no. 22533.</w:t>
      </w:r>
    </w:p>
    <w:p w14:paraId="4DB46856" w14:textId="6C6C1E1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Buiter, W. (2008) </w:t>
      </w:r>
      <w:r w:rsidR="00B359C0" w:rsidRPr="000D6202">
        <w:rPr>
          <w:rFonts w:ascii="Times New Roman" w:hAnsi="Times New Roman"/>
          <w:sz w:val="24"/>
          <w:szCs w:val="24"/>
          <w:lang w:val="en-GB"/>
        </w:rPr>
        <w:t>“</w:t>
      </w:r>
      <w:r w:rsidRPr="000D6202">
        <w:rPr>
          <w:rFonts w:ascii="Times New Roman" w:hAnsi="Times New Roman"/>
          <w:sz w:val="24"/>
          <w:szCs w:val="24"/>
          <w:lang w:val="en-GB"/>
        </w:rPr>
        <w:t>Central Banks and Financial Crises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In: </w:t>
      </w:r>
      <w:r w:rsidRPr="000D6202">
        <w:rPr>
          <w:rFonts w:ascii="Times New Roman" w:hAnsi="Times New Roman"/>
          <w:i/>
          <w:sz w:val="24"/>
          <w:szCs w:val="24"/>
          <w:lang w:val="en-GB"/>
        </w:rPr>
        <w:t>Maintaining Stability in a Changing Financial System, Proceedings of the 2008 Jackson Hole Symposium</w:t>
      </w:r>
      <w:r w:rsidRPr="000D6202">
        <w:rPr>
          <w:rFonts w:ascii="Times New Roman" w:hAnsi="Times New Roman"/>
          <w:sz w:val="24"/>
          <w:szCs w:val="24"/>
          <w:lang w:val="en-GB"/>
        </w:rPr>
        <w:t xml:space="preserve"> 495-633. Federal Reserve Bank of Kansas City. </w:t>
      </w:r>
    </w:p>
    <w:p w14:paraId="1D13969E" w14:textId="25E54AE8"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Buiter, W., and Rahbari, E. (2012) </w:t>
      </w:r>
      <w:r w:rsidR="00B359C0" w:rsidRPr="000D6202">
        <w:rPr>
          <w:rFonts w:ascii="Times New Roman" w:hAnsi="Times New Roman"/>
          <w:sz w:val="24"/>
          <w:szCs w:val="24"/>
          <w:lang w:val="en-GB"/>
        </w:rPr>
        <w:t>“</w:t>
      </w:r>
      <w:r w:rsidRPr="000D6202">
        <w:rPr>
          <w:rFonts w:ascii="Times New Roman" w:hAnsi="Times New Roman"/>
          <w:sz w:val="24"/>
          <w:szCs w:val="24"/>
          <w:lang w:val="en-GB"/>
        </w:rPr>
        <w:t>The European Central Bank as Lender of Last Resort for Sovereigns in the Eurozone</w:t>
      </w:r>
      <w:r w:rsidR="00B359C0" w:rsidRPr="000D6202">
        <w:rPr>
          <w:rFonts w:ascii="Times New Roman" w:hAnsi="Times New Roman"/>
          <w:sz w:val="24"/>
          <w:szCs w:val="24"/>
          <w:lang w:val="en-GB"/>
        </w:rPr>
        <w:t>”</w:t>
      </w:r>
      <w:r w:rsidRPr="000D6202">
        <w:rPr>
          <w:rFonts w:ascii="Times New Roman" w:hAnsi="Times New Roman"/>
          <w:sz w:val="24"/>
          <w:szCs w:val="24"/>
          <w:lang w:val="en-GB"/>
        </w:rPr>
        <w:t>.</w:t>
      </w:r>
      <w:r w:rsidRPr="000D6202">
        <w:rPr>
          <w:rFonts w:ascii="Times New Roman" w:hAnsi="Times New Roman"/>
          <w:i/>
          <w:iCs/>
          <w:sz w:val="24"/>
          <w:szCs w:val="24"/>
          <w:lang w:val="en-GB"/>
        </w:rPr>
        <w:t xml:space="preserve"> Journal of Common Market Studies</w:t>
      </w:r>
      <w:r w:rsidRPr="000D6202">
        <w:rPr>
          <w:rFonts w:ascii="Times New Roman" w:hAnsi="Times New Roman"/>
          <w:sz w:val="24"/>
          <w:szCs w:val="24"/>
          <w:lang w:val="en-GB"/>
        </w:rPr>
        <w:t xml:space="preserve"> 50: 6–35. </w:t>
      </w:r>
    </w:p>
    <w:p w14:paraId="1385EA0B" w14:textId="584B137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Carre, E. (2015) </w:t>
      </w:r>
      <w:r w:rsidR="00B359C0" w:rsidRPr="000D6202">
        <w:rPr>
          <w:rFonts w:ascii="Times New Roman" w:hAnsi="Times New Roman"/>
          <w:sz w:val="24"/>
          <w:szCs w:val="24"/>
          <w:lang w:val="en-GB"/>
        </w:rPr>
        <w:t>“</w:t>
      </w:r>
      <w:r w:rsidRPr="000D6202">
        <w:rPr>
          <w:rFonts w:ascii="Times New Roman" w:hAnsi="Times New Roman"/>
          <w:sz w:val="24"/>
          <w:szCs w:val="24"/>
          <w:lang w:val="en-GB"/>
        </w:rPr>
        <w:t>La crise financière a-t-elle affecté le débat «lean» versus «clean» chez les banquiers centraux?</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Revue d’économie financière</w:t>
      </w:r>
      <w:r w:rsidRPr="000D6202">
        <w:rPr>
          <w:rFonts w:ascii="Times New Roman" w:hAnsi="Times New Roman"/>
          <w:sz w:val="24"/>
          <w:szCs w:val="24"/>
          <w:lang w:val="en-GB"/>
        </w:rPr>
        <w:t xml:space="preserve"> 251–276.</w:t>
      </w:r>
    </w:p>
    <w:p w14:paraId="137055C8" w14:textId="72C9202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Carre, E. and Demange, E. (2017) </w:t>
      </w:r>
      <w:r w:rsidR="00F65062" w:rsidRPr="000D6202">
        <w:rPr>
          <w:rFonts w:ascii="Times New Roman" w:hAnsi="Times New Roman"/>
          <w:sz w:val="24"/>
          <w:szCs w:val="24"/>
          <w:lang w:val="en-GB"/>
        </w:rPr>
        <w:t>“</w:t>
      </w:r>
      <w:r w:rsidRPr="000D6202">
        <w:rPr>
          <w:rFonts w:ascii="Times New Roman" w:hAnsi="Times New Roman"/>
          <w:sz w:val="24"/>
          <w:szCs w:val="24"/>
          <w:lang w:val="en-GB"/>
        </w:rPr>
        <w:t>La revolving door dans les banques centrales</w:t>
      </w:r>
      <w:r w:rsidR="00F65062"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Revue d’économie financière</w:t>
      </w:r>
      <w:r w:rsidRPr="000D6202">
        <w:rPr>
          <w:rFonts w:ascii="Times New Roman" w:hAnsi="Times New Roman"/>
          <w:sz w:val="24"/>
          <w:szCs w:val="24"/>
          <w:lang w:val="en-GB"/>
        </w:rPr>
        <w:t xml:space="preserve"> 233–254.</w:t>
      </w:r>
    </w:p>
    <w:p w14:paraId="57978C75" w14:textId="4D7347C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Chang, M. (2018) </w:t>
      </w:r>
      <w:r w:rsidR="00B359C0" w:rsidRPr="000D6202">
        <w:rPr>
          <w:rFonts w:ascii="Times New Roman" w:hAnsi="Times New Roman"/>
          <w:sz w:val="24"/>
          <w:szCs w:val="24"/>
          <w:lang w:val="en-GB"/>
        </w:rPr>
        <w:t>“</w:t>
      </w:r>
      <w:r w:rsidRPr="000D6202">
        <w:rPr>
          <w:rFonts w:ascii="Times New Roman" w:hAnsi="Times New Roman"/>
          <w:sz w:val="24"/>
          <w:szCs w:val="24"/>
          <w:lang w:val="en-GB"/>
        </w:rPr>
        <w:t>The Creeping Competence of the European Central Bank During the Euro Crisis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Credit and Capital Markets</w:t>
      </w:r>
      <w:r w:rsidRPr="000D6202">
        <w:rPr>
          <w:rFonts w:ascii="Times New Roman" w:hAnsi="Times New Roman"/>
          <w:sz w:val="24"/>
          <w:szCs w:val="24"/>
          <w:lang w:val="en-GB"/>
        </w:rPr>
        <w:t xml:space="preserve"> 51: 41–53.</w:t>
      </w:r>
    </w:p>
    <w:p w14:paraId="6BF4442F" w14:textId="5FE9C24A"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Clift, B. and Woll, C. (2012) </w:t>
      </w:r>
      <w:r w:rsidR="00B359C0" w:rsidRPr="000D6202">
        <w:rPr>
          <w:rFonts w:ascii="Times New Roman" w:hAnsi="Times New Roman"/>
          <w:sz w:val="24"/>
          <w:szCs w:val="24"/>
          <w:lang w:val="en-GB"/>
        </w:rPr>
        <w:t>“</w:t>
      </w:r>
      <w:r w:rsidRPr="000D6202">
        <w:rPr>
          <w:rFonts w:ascii="Times New Roman" w:hAnsi="Times New Roman"/>
          <w:sz w:val="24"/>
          <w:szCs w:val="24"/>
          <w:lang w:val="en-GB"/>
        </w:rPr>
        <w:t>Economic Patriotism: Reinventing Control over Open Markets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European Public Policy</w:t>
      </w:r>
      <w:r w:rsidRPr="000D6202">
        <w:rPr>
          <w:rFonts w:ascii="Times New Roman" w:hAnsi="Times New Roman"/>
          <w:sz w:val="24"/>
          <w:szCs w:val="24"/>
          <w:lang w:val="en-GB"/>
        </w:rPr>
        <w:t xml:space="preserve"> 19(3): 307–323.</w:t>
      </w:r>
    </w:p>
    <w:p w14:paraId="14E8BD8E" w14:textId="1FB2949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Collignon, S., and Diessner, S. (2016) </w:t>
      </w:r>
      <w:r w:rsidR="00B359C0" w:rsidRPr="000D6202">
        <w:rPr>
          <w:rFonts w:ascii="Times New Roman" w:hAnsi="Times New Roman"/>
          <w:sz w:val="24"/>
          <w:szCs w:val="24"/>
          <w:lang w:val="en-GB"/>
        </w:rPr>
        <w:t>“</w:t>
      </w:r>
      <w:r w:rsidRPr="000D6202">
        <w:rPr>
          <w:rFonts w:ascii="Times New Roman" w:hAnsi="Times New Roman"/>
          <w:sz w:val="24"/>
          <w:szCs w:val="24"/>
          <w:lang w:val="en-GB"/>
        </w:rPr>
        <w:t>The ECB’s Monetary Dialogue with the European Parliament: Efficiency and Accountability during the Euro Crisis?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Common Market</w:t>
      </w:r>
      <w:r w:rsidRPr="000D6202">
        <w:rPr>
          <w:rFonts w:ascii="Times New Roman" w:hAnsi="Times New Roman"/>
          <w:iCs/>
          <w:sz w:val="24"/>
          <w:szCs w:val="24"/>
          <w:lang w:val="en-GB"/>
        </w:rPr>
        <w:t xml:space="preserve"> Studies</w:t>
      </w:r>
      <w:r w:rsidRPr="000D6202">
        <w:rPr>
          <w:rFonts w:ascii="Times New Roman" w:hAnsi="Times New Roman"/>
          <w:sz w:val="24"/>
          <w:szCs w:val="24"/>
          <w:lang w:val="en-GB"/>
        </w:rPr>
        <w:t xml:space="preserve"> 54 (6): 1296–1312.</w:t>
      </w:r>
    </w:p>
    <w:p w14:paraId="3FBCBB71" w14:textId="366E530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Conti-Brown, P. (2016) </w:t>
      </w:r>
      <w:r w:rsidRPr="000D6202">
        <w:rPr>
          <w:rFonts w:ascii="Times New Roman" w:hAnsi="Times New Roman"/>
          <w:i/>
          <w:iCs/>
          <w:sz w:val="24"/>
          <w:szCs w:val="24"/>
          <w:lang w:val="en-GB"/>
        </w:rPr>
        <w:t>The Power and Independence of the Federal Reserve</w:t>
      </w:r>
      <w:r w:rsidRPr="000D6202">
        <w:rPr>
          <w:rFonts w:ascii="Times New Roman" w:hAnsi="Times New Roman"/>
          <w:sz w:val="24"/>
          <w:szCs w:val="24"/>
          <w:lang w:val="en-GB"/>
        </w:rPr>
        <w:t xml:space="preserve">. </w:t>
      </w:r>
      <w:r w:rsidR="00B359C0" w:rsidRPr="000D6202">
        <w:rPr>
          <w:rFonts w:ascii="Times New Roman" w:hAnsi="Times New Roman"/>
          <w:sz w:val="24"/>
          <w:szCs w:val="24"/>
          <w:lang w:val="en-GB"/>
        </w:rPr>
        <w:t xml:space="preserve">Princeton: </w:t>
      </w:r>
      <w:r w:rsidRPr="000D6202">
        <w:rPr>
          <w:rFonts w:ascii="Times New Roman" w:hAnsi="Times New Roman"/>
          <w:sz w:val="24"/>
          <w:szCs w:val="24"/>
          <w:lang w:val="en-GB"/>
        </w:rPr>
        <w:t>Princeton University Press.</w:t>
      </w:r>
    </w:p>
    <w:p w14:paraId="466FA322" w14:textId="7E236583"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Corporate Europe Observatory. 2016. </w:t>
      </w:r>
      <w:r w:rsidR="00B359C0" w:rsidRPr="000D6202">
        <w:rPr>
          <w:rFonts w:ascii="Times New Roman" w:hAnsi="Times New Roman"/>
          <w:sz w:val="24"/>
          <w:szCs w:val="24"/>
          <w:lang w:val="en-GB"/>
        </w:rPr>
        <w:t>“</w:t>
      </w:r>
      <w:r w:rsidRPr="000D6202">
        <w:rPr>
          <w:rFonts w:ascii="Times New Roman" w:hAnsi="Times New Roman"/>
          <w:sz w:val="24"/>
          <w:szCs w:val="24"/>
          <w:lang w:val="en-GB"/>
        </w:rPr>
        <w:t>The ECB’s ‘Quantitative Easing’ Funds Multinationals and Climate Change</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Corporate Europe Observatory</w:t>
      </w:r>
      <w:r w:rsidRPr="000D6202">
        <w:rPr>
          <w:rFonts w:ascii="Times New Roman" w:hAnsi="Times New Roman"/>
          <w:sz w:val="24"/>
          <w:szCs w:val="24"/>
          <w:lang w:val="en-GB"/>
        </w:rPr>
        <w:t xml:space="preserve">. December 12, 2016. </w:t>
      </w:r>
    </w:p>
    <w:p w14:paraId="43D23B53" w14:textId="6588B15A" w:rsidR="00DB3E05" w:rsidRPr="000D6202" w:rsidRDefault="00DB3E05" w:rsidP="00DB3E05">
      <w:pPr>
        <w:tabs>
          <w:tab w:val="decimal" w:pos="426"/>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Couppey-Soubeyran, J. (2015) </w:t>
      </w:r>
      <w:r w:rsidRPr="000D6202">
        <w:rPr>
          <w:rFonts w:ascii="Times New Roman" w:hAnsi="Times New Roman"/>
          <w:i/>
          <w:sz w:val="24"/>
          <w:szCs w:val="24"/>
          <w:lang w:val="en-GB"/>
        </w:rPr>
        <w:t>Blablabanque</w:t>
      </w:r>
      <w:r w:rsidR="00B359C0" w:rsidRPr="000D6202">
        <w:rPr>
          <w:rFonts w:ascii="Times New Roman" w:hAnsi="Times New Roman"/>
          <w:i/>
          <w:sz w:val="24"/>
          <w:szCs w:val="24"/>
          <w:lang w:val="en-GB"/>
        </w:rPr>
        <w:t>: Le discours de l’inaction</w:t>
      </w:r>
      <w:r w:rsidRPr="000D6202">
        <w:rPr>
          <w:rFonts w:ascii="Times New Roman" w:hAnsi="Times New Roman"/>
          <w:sz w:val="24"/>
          <w:szCs w:val="24"/>
          <w:lang w:val="en-GB"/>
        </w:rPr>
        <w:t>. Paris: Michalon.</w:t>
      </w:r>
    </w:p>
    <w:p w14:paraId="733AAF2C" w14:textId="529172F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Cour-Thimann, P. (2013) </w:t>
      </w:r>
      <w:r w:rsidR="00B359C0" w:rsidRPr="000D6202">
        <w:rPr>
          <w:rFonts w:ascii="Times New Roman" w:hAnsi="Times New Roman"/>
          <w:sz w:val="24"/>
          <w:szCs w:val="24"/>
          <w:lang w:val="en-GB"/>
        </w:rPr>
        <w:t>“</w:t>
      </w:r>
      <w:r w:rsidRPr="000D6202">
        <w:rPr>
          <w:rFonts w:ascii="Times New Roman" w:hAnsi="Times New Roman"/>
          <w:sz w:val="24"/>
          <w:szCs w:val="24"/>
          <w:lang w:val="en-GB"/>
        </w:rPr>
        <w:t>Monetary Policy and Redistribution: Information from Central Bank Balance Sheets in the Euro Area and the US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Review of Economics</w:t>
      </w:r>
      <w:r w:rsidRPr="000D6202">
        <w:rPr>
          <w:rFonts w:ascii="Times New Roman" w:hAnsi="Times New Roman"/>
          <w:sz w:val="24"/>
          <w:szCs w:val="24"/>
          <w:lang w:val="en-GB"/>
        </w:rPr>
        <w:t xml:space="preserve"> 64(3): 293–324.</w:t>
      </w:r>
    </w:p>
    <w:p w14:paraId="2D5F2AE3" w14:textId="5148F34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lastRenderedPageBreak/>
        <w:t xml:space="preserve">Crouch, C. (2004) </w:t>
      </w:r>
      <w:r w:rsidRPr="000D6202">
        <w:rPr>
          <w:rFonts w:ascii="Times New Roman" w:hAnsi="Times New Roman"/>
          <w:i/>
          <w:sz w:val="24"/>
          <w:szCs w:val="24"/>
          <w:lang w:val="en-GB"/>
        </w:rPr>
        <w:t>Post-democracy</w:t>
      </w:r>
      <w:r w:rsidRPr="000D6202">
        <w:rPr>
          <w:rFonts w:ascii="Times New Roman" w:hAnsi="Times New Roman"/>
          <w:sz w:val="24"/>
          <w:szCs w:val="24"/>
          <w:lang w:val="en-GB"/>
        </w:rPr>
        <w:t>. Cambridge</w:t>
      </w:r>
      <w:r w:rsidR="00B359C0" w:rsidRPr="000D6202">
        <w:rPr>
          <w:rFonts w:ascii="Times New Roman" w:hAnsi="Times New Roman"/>
          <w:sz w:val="24"/>
          <w:szCs w:val="24"/>
          <w:lang w:val="en-GB"/>
        </w:rPr>
        <w:t>: Polity</w:t>
      </w:r>
      <w:r w:rsidRPr="000D6202">
        <w:rPr>
          <w:rFonts w:ascii="Times New Roman" w:hAnsi="Times New Roman"/>
          <w:sz w:val="24"/>
          <w:szCs w:val="24"/>
          <w:lang w:val="en-GB"/>
        </w:rPr>
        <w:t>.</w:t>
      </w:r>
    </w:p>
    <w:p w14:paraId="36FD22B4" w14:textId="27793358"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Culpepper, P.D., Reinke, R., 2014. </w:t>
      </w:r>
      <w:r w:rsidR="00B359C0" w:rsidRPr="000D6202">
        <w:rPr>
          <w:rFonts w:ascii="Times New Roman" w:hAnsi="Times New Roman"/>
          <w:sz w:val="24"/>
          <w:szCs w:val="24"/>
          <w:lang w:val="en-GB"/>
        </w:rPr>
        <w:t>“</w:t>
      </w:r>
      <w:r w:rsidRPr="000D6202">
        <w:rPr>
          <w:rFonts w:ascii="Times New Roman" w:hAnsi="Times New Roman"/>
          <w:sz w:val="24"/>
          <w:szCs w:val="24"/>
          <w:lang w:val="en-GB"/>
        </w:rPr>
        <w:t>Structural power and bank bailouts in the United Kingdom and the United States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Politics &amp; Society</w:t>
      </w:r>
      <w:r w:rsidRPr="000D6202">
        <w:rPr>
          <w:rFonts w:ascii="Times New Roman" w:hAnsi="Times New Roman"/>
          <w:sz w:val="24"/>
          <w:szCs w:val="24"/>
          <w:lang w:val="en-GB"/>
        </w:rPr>
        <w:t xml:space="preserve"> 42, 427–454.</w:t>
      </w:r>
    </w:p>
    <w:p w14:paraId="28291DDF" w14:textId="227B9DA8"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De Grauwe, P. (2011) </w:t>
      </w:r>
      <w:r w:rsidR="00B359C0" w:rsidRPr="000D6202">
        <w:rPr>
          <w:rFonts w:ascii="Times New Roman" w:hAnsi="Times New Roman"/>
          <w:sz w:val="24"/>
          <w:szCs w:val="24"/>
          <w:lang w:val="en-GB"/>
        </w:rPr>
        <w:t>“</w:t>
      </w:r>
      <w:r w:rsidRPr="000D6202">
        <w:rPr>
          <w:rFonts w:ascii="Times New Roman" w:hAnsi="Times New Roman"/>
          <w:sz w:val="24"/>
          <w:szCs w:val="24"/>
          <w:lang w:val="en-GB"/>
        </w:rPr>
        <w:t>The European Central Bank: Lender of Last Resort in the Government Bond Markets?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CESifo Working Paper Series</w:t>
      </w:r>
      <w:r w:rsidRPr="000D6202">
        <w:rPr>
          <w:rFonts w:ascii="Times New Roman" w:hAnsi="Times New Roman"/>
          <w:sz w:val="24"/>
          <w:szCs w:val="24"/>
          <w:lang w:val="en-GB"/>
        </w:rPr>
        <w:t xml:space="preserve"> 3569.</w:t>
      </w:r>
    </w:p>
    <w:p w14:paraId="4C6BBC9E" w14:textId="57BF2E83"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De Haan, J., Bodea, C. Hicks, R. and Eijffinger, S. CW. (2018) </w:t>
      </w:r>
      <w:r w:rsidR="00B359C0" w:rsidRPr="000D6202">
        <w:rPr>
          <w:rFonts w:ascii="Times New Roman" w:hAnsi="Times New Roman"/>
          <w:sz w:val="24"/>
          <w:szCs w:val="24"/>
          <w:lang w:val="en-GB"/>
        </w:rPr>
        <w:t>“</w:t>
      </w:r>
      <w:r w:rsidRPr="000D6202">
        <w:rPr>
          <w:rFonts w:ascii="Times New Roman" w:hAnsi="Times New Roman"/>
          <w:sz w:val="24"/>
          <w:szCs w:val="24"/>
          <w:lang w:val="en-GB"/>
        </w:rPr>
        <w:t>Central Bank Independence before and after the Crisis</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Comparative Economic Studies</w:t>
      </w:r>
      <w:r w:rsidRPr="000D6202">
        <w:rPr>
          <w:rFonts w:ascii="Times New Roman" w:hAnsi="Times New Roman"/>
          <w:sz w:val="24"/>
          <w:szCs w:val="24"/>
          <w:lang w:val="en-GB"/>
        </w:rPr>
        <w:t>: 1–20.</w:t>
      </w:r>
    </w:p>
    <w:p w14:paraId="5C2FD39C"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Dietsch, P., Claveau, F. and Fontan, C. (2018) </w:t>
      </w:r>
      <w:r w:rsidRPr="000D6202">
        <w:rPr>
          <w:rFonts w:ascii="Times New Roman" w:hAnsi="Times New Roman"/>
          <w:i/>
          <w:iCs/>
          <w:sz w:val="24"/>
          <w:szCs w:val="24"/>
          <w:lang w:val="en-GB"/>
        </w:rPr>
        <w:t>Do Central Banks Serve The People</w:t>
      </w:r>
      <w:r w:rsidRPr="000D6202">
        <w:rPr>
          <w:rFonts w:ascii="Times New Roman" w:hAnsi="Times New Roman"/>
          <w:iCs/>
          <w:sz w:val="24"/>
          <w:szCs w:val="24"/>
          <w:lang w:val="en-GB"/>
        </w:rPr>
        <w:t>?</w:t>
      </w:r>
      <w:r w:rsidRPr="000D6202">
        <w:rPr>
          <w:rFonts w:ascii="Times New Roman" w:hAnsi="Times New Roman"/>
          <w:sz w:val="24"/>
          <w:szCs w:val="24"/>
          <w:lang w:val="en-GB"/>
        </w:rPr>
        <w:t xml:space="preserve"> Future of Capitalism. Cambrige: Polity.</w:t>
      </w:r>
    </w:p>
    <w:p w14:paraId="31D5FC30" w14:textId="23B808B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Domanski, D., Scatigna, M. and Zabai, A. (2016) </w:t>
      </w:r>
      <w:r w:rsidR="00B359C0" w:rsidRPr="000D6202">
        <w:rPr>
          <w:rFonts w:ascii="Times New Roman" w:hAnsi="Times New Roman"/>
          <w:sz w:val="24"/>
          <w:szCs w:val="24"/>
          <w:lang w:val="en-GB"/>
        </w:rPr>
        <w:t>“</w:t>
      </w:r>
      <w:r w:rsidRPr="000D6202">
        <w:rPr>
          <w:rFonts w:ascii="Times New Roman" w:hAnsi="Times New Roman"/>
          <w:sz w:val="24"/>
          <w:szCs w:val="24"/>
          <w:lang w:val="en-GB"/>
        </w:rPr>
        <w:t>Wealth Inequality and Monetary Policy</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SSRN Scholarly Paper</w:t>
      </w:r>
      <w:r w:rsidRPr="000D6202">
        <w:rPr>
          <w:rFonts w:ascii="Times New Roman" w:hAnsi="Times New Roman"/>
          <w:sz w:val="24"/>
          <w:szCs w:val="24"/>
          <w:lang w:val="en-GB"/>
        </w:rPr>
        <w:t xml:space="preserve"> ID 2744862. Rochester, NY: Social Science Research Network.</w:t>
      </w:r>
    </w:p>
    <w:p w14:paraId="79388238" w14:textId="6B165F2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Dow, S. (2017) </w:t>
      </w:r>
      <w:r w:rsidR="00B359C0" w:rsidRPr="000D6202">
        <w:rPr>
          <w:rFonts w:ascii="Times New Roman" w:hAnsi="Times New Roman"/>
          <w:sz w:val="24"/>
          <w:szCs w:val="24"/>
          <w:lang w:val="en-GB"/>
        </w:rPr>
        <w:t>“</w:t>
      </w:r>
      <w:r w:rsidRPr="000D6202">
        <w:rPr>
          <w:rFonts w:ascii="Times New Roman" w:hAnsi="Times New Roman"/>
          <w:sz w:val="24"/>
          <w:szCs w:val="24"/>
          <w:lang w:val="en-GB"/>
        </w:rPr>
        <w:t>Central Banking in the Twenty-First Century</w:t>
      </w:r>
      <w:r w:rsidR="00B359C0"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Cambridge Journal of Economics</w:t>
      </w:r>
      <w:r w:rsidRPr="000D6202">
        <w:rPr>
          <w:rFonts w:ascii="Times New Roman" w:hAnsi="Times New Roman"/>
          <w:sz w:val="24"/>
          <w:szCs w:val="24"/>
          <w:lang w:val="en-GB"/>
        </w:rPr>
        <w:t xml:space="preserve"> 41(6): 1539–1557.</w:t>
      </w:r>
    </w:p>
    <w:p w14:paraId="07E894CF" w14:textId="6D43D3C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Drudi, F., Durré, A. and Mongelli, F.P. (2012) </w:t>
      </w:r>
      <w:r w:rsidR="009E4BCD" w:rsidRPr="000D6202">
        <w:rPr>
          <w:rFonts w:ascii="Times New Roman" w:hAnsi="Times New Roman"/>
          <w:sz w:val="24"/>
          <w:szCs w:val="24"/>
          <w:lang w:val="en-GB"/>
        </w:rPr>
        <w:t>“</w:t>
      </w:r>
      <w:r w:rsidRPr="000D6202">
        <w:rPr>
          <w:rFonts w:ascii="Times New Roman" w:hAnsi="Times New Roman"/>
          <w:sz w:val="24"/>
          <w:szCs w:val="24"/>
          <w:lang w:val="en-GB"/>
        </w:rPr>
        <w:t>The Interplay of Economic Reforms and Monetary Policy: The Case of the Eurozone</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Journal of Common Market Studies</w:t>
      </w:r>
      <w:r w:rsidRPr="000D6202">
        <w:rPr>
          <w:rFonts w:ascii="Times New Roman" w:hAnsi="Times New Roman"/>
          <w:sz w:val="24"/>
          <w:szCs w:val="24"/>
          <w:lang w:val="en-GB"/>
        </w:rPr>
        <w:t xml:space="preserve"> 50, 881–898. </w:t>
      </w:r>
    </w:p>
    <w:p w14:paraId="00A1836C" w14:textId="6CBF6A7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Dyson, K. H. F. (2009) </w:t>
      </w:r>
      <w:r w:rsidR="009E4BCD" w:rsidRPr="000D6202">
        <w:rPr>
          <w:rFonts w:ascii="Times New Roman" w:hAnsi="Times New Roman"/>
          <w:sz w:val="24"/>
          <w:szCs w:val="24"/>
          <w:lang w:val="en-GB"/>
        </w:rPr>
        <w:t>“</w:t>
      </w:r>
      <w:r w:rsidRPr="000D6202">
        <w:rPr>
          <w:rFonts w:ascii="Times New Roman" w:hAnsi="Times New Roman"/>
          <w:sz w:val="24"/>
          <w:szCs w:val="24"/>
          <w:lang w:val="en-GB"/>
        </w:rPr>
        <w:t>The Age of the Euro: A Structural Break? Europeanization, Convergence, and Power in Central Banking</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In: M. Marcussen and K.H. F. Dyson (eds) </w:t>
      </w:r>
      <w:r w:rsidRPr="000D6202">
        <w:rPr>
          <w:rFonts w:ascii="Times New Roman" w:hAnsi="Times New Roman"/>
          <w:i/>
          <w:iCs/>
          <w:sz w:val="24"/>
          <w:szCs w:val="24"/>
          <w:lang w:val="en-GB"/>
        </w:rPr>
        <w:t>Central Banks in the Age of the Euro : Europeanization, Convergence and Power</w:t>
      </w:r>
      <w:r w:rsidRPr="000D6202">
        <w:rPr>
          <w:rFonts w:ascii="Times New Roman" w:hAnsi="Times New Roman"/>
          <w:sz w:val="24"/>
          <w:szCs w:val="24"/>
          <w:lang w:val="en-GB"/>
        </w:rPr>
        <w:t>. Oxford: Oxford University Press.</w:t>
      </w:r>
    </w:p>
    <w:p w14:paraId="4F3B7EE1"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Dyson, K. H. F., and Featherstone, K. (1999) </w:t>
      </w:r>
      <w:r w:rsidRPr="000D6202">
        <w:rPr>
          <w:rFonts w:ascii="Times New Roman" w:hAnsi="Times New Roman"/>
          <w:i/>
          <w:iCs/>
          <w:sz w:val="24"/>
          <w:szCs w:val="24"/>
          <w:lang w:val="en-GB"/>
        </w:rPr>
        <w:t>The Road to Maastricht: Negotiating Economic and Monetary Union</w:t>
      </w:r>
      <w:r w:rsidRPr="000D6202">
        <w:rPr>
          <w:rFonts w:ascii="Times New Roman" w:hAnsi="Times New Roman"/>
          <w:sz w:val="24"/>
          <w:szCs w:val="24"/>
          <w:lang w:val="en-GB"/>
        </w:rPr>
        <w:t>. Oxford: Oxford University Press.</w:t>
      </w:r>
    </w:p>
    <w:p w14:paraId="387F63DE" w14:textId="06656C26"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Eichengreen, B. (2014) </w:t>
      </w:r>
      <w:r w:rsidRPr="000D6202">
        <w:rPr>
          <w:rFonts w:ascii="Times New Roman" w:hAnsi="Times New Roman"/>
          <w:i/>
          <w:iCs/>
          <w:sz w:val="24"/>
          <w:szCs w:val="24"/>
          <w:lang w:val="en-GB"/>
        </w:rPr>
        <w:t>Hall of Mirrors: The Great Depression, the Great Recession, and the Uses-and Misuses-of History</w:t>
      </w:r>
      <w:r w:rsidRPr="000D6202">
        <w:rPr>
          <w:rFonts w:ascii="Times New Roman" w:hAnsi="Times New Roman"/>
          <w:sz w:val="24"/>
          <w:szCs w:val="24"/>
          <w:lang w:val="en-GB"/>
        </w:rPr>
        <w:t xml:space="preserve">. </w:t>
      </w:r>
      <w:r w:rsidR="009E4BCD" w:rsidRPr="000D6202">
        <w:rPr>
          <w:rFonts w:ascii="Times New Roman" w:hAnsi="Times New Roman"/>
          <w:sz w:val="24"/>
          <w:szCs w:val="24"/>
          <w:lang w:val="en-GB"/>
        </w:rPr>
        <w:t xml:space="preserve">Oxford: </w:t>
      </w:r>
      <w:r w:rsidRPr="000D6202">
        <w:rPr>
          <w:rFonts w:ascii="Times New Roman" w:hAnsi="Times New Roman"/>
          <w:sz w:val="24"/>
          <w:szCs w:val="24"/>
          <w:lang w:val="en-GB"/>
        </w:rPr>
        <w:t>Oxford University Press.</w:t>
      </w:r>
    </w:p>
    <w:p w14:paraId="0A2710B2" w14:textId="44455CE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Elgie, R. (2002) </w:t>
      </w:r>
      <w:r w:rsidR="009E4BCD" w:rsidRPr="000D6202">
        <w:rPr>
          <w:rFonts w:ascii="Times New Roman" w:hAnsi="Times New Roman"/>
          <w:sz w:val="24"/>
          <w:szCs w:val="24"/>
          <w:lang w:val="en-GB"/>
        </w:rPr>
        <w:t>“</w:t>
      </w:r>
      <w:r w:rsidRPr="000D6202">
        <w:rPr>
          <w:rFonts w:ascii="Times New Roman" w:hAnsi="Times New Roman"/>
          <w:sz w:val="24"/>
          <w:szCs w:val="24"/>
          <w:lang w:val="en-GB"/>
        </w:rPr>
        <w:t>The Politics of the European Central Bank: Principal-Agent Theory and the Democratic Deficit</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European Public Policy</w:t>
      </w:r>
      <w:r w:rsidRPr="000D6202">
        <w:rPr>
          <w:rFonts w:ascii="Times New Roman" w:hAnsi="Times New Roman"/>
          <w:sz w:val="24"/>
          <w:szCs w:val="24"/>
          <w:lang w:val="en-GB"/>
        </w:rPr>
        <w:t xml:space="preserve"> 9(2): 186–200. </w:t>
      </w:r>
    </w:p>
    <w:p w14:paraId="17B8365D" w14:textId="2E571AAB"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Engelen, E., Ertürk, I., Froud, J., Johal, S.,</w:t>
      </w:r>
      <w:r w:rsidR="009E4BCD" w:rsidRPr="000D6202">
        <w:rPr>
          <w:rFonts w:ascii="Times New Roman" w:hAnsi="Times New Roman"/>
          <w:sz w:val="24"/>
          <w:szCs w:val="24"/>
          <w:lang w:val="en-GB"/>
        </w:rPr>
        <w:t xml:space="preserve"> Leaver,</w:t>
      </w:r>
      <w:r w:rsidRPr="000D6202">
        <w:rPr>
          <w:rFonts w:ascii="Times New Roman" w:hAnsi="Times New Roman"/>
          <w:sz w:val="24"/>
          <w:szCs w:val="24"/>
          <w:lang w:val="en-GB"/>
        </w:rPr>
        <w:t xml:space="preserve"> A., Moran, M., Nilsson, A. and Williams, K. (2011) </w:t>
      </w:r>
      <w:r w:rsidRPr="000D6202">
        <w:rPr>
          <w:rFonts w:ascii="Times New Roman" w:hAnsi="Times New Roman"/>
          <w:i/>
          <w:iCs/>
          <w:sz w:val="24"/>
          <w:szCs w:val="24"/>
          <w:lang w:val="en-GB"/>
        </w:rPr>
        <w:t>After the Great Complacence: Financial Crisis and the Politics of Reform</w:t>
      </w:r>
      <w:r w:rsidRPr="000D6202">
        <w:rPr>
          <w:rFonts w:ascii="Times New Roman" w:hAnsi="Times New Roman"/>
          <w:i/>
          <w:sz w:val="24"/>
          <w:szCs w:val="24"/>
          <w:lang w:val="en-GB"/>
        </w:rPr>
        <w:t>.</w:t>
      </w:r>
      <w:r w:rsidRPr="000D6202">
        <w:rPr>
          <w:rFonts w:ascii="Times New Roman" w:hAnsi="Times New Roman"/>
          <w:sz w:val="24"/>
          <w:szCs w:val="24"/>
          <w:lang w:val="en-GB"/>
        </w:rPr>
        <w:t xml:space="preserve"> Oxford: Oxford University Press.</w:t>
      </w:r>
    </w:p>
    <w:p w14:paraId="110A3C05"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Epstein, G.A. (2005) </w:t>
      </w:r>
      <w:r w:rsidRPr="000D6202">
        <w:rPr>
          <w:rFonts w:ascii="Times New Roman" w:hAnsi="Times New Roman"/>
          <w:i/>
          <w:sz w:val="24"/>
          <w:szCs w:val="24"/>
          <w:lang w:val="en-GB"/>
        </w:rPr>
        <w:t>Financialization and the World Economy</w:t>
      </w:r>
      <w:r w:rsidRPr="000D6202">
        <w:rPr>
          <w:rFonts w:ascii="Times New Roman" w:hAnsi="Times New Roman"/>
          <w:sz w:val="24"/>
          <w:szCs w:val="24"/>
          <w:lang w:val="en-GB"/>
        </w:rPr>
        <w:t>. Edward Elgar Publishing.</w:t>
      </w:r>
    </w:p>
    <w:p w14:paraId="50AD4210" w14:textId="423BCA9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European Central Bank. </w:t>
      </w:r>
      <w:r w:rsidR="009E4BCD" w:rsidRPr="000D6202">
        <w:rPr>
          <w:rFonts w:ascii="Times New Roman" w:hAnsi="Times New Roman"/>
          <w:sz w:val="24"/>
          <w:szCs w:val="24"/>
          <w:lang w:val="en-GB"/>
        </w:rPr>
        <w:t>(</w:t>
      </w:r>
      <w:r w:rsidRPr="000D6202">
        <w:rPr>
          <w:rFonts w:ascii="Times New Roman" w:hAnsi="Times New Roman"/>
          <w:sz w:val="24"/>
          <w:szCs w:val="24"/>
          <w:lang w:val="en-GB"/>
        </w:rPr>
        <w:t>2016</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Annual Report 2016.</w:t>
      </w:r>
    </w:p>
    <w:p w14:paraId="21CC4D23" w14:textId="0AD9053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Feiertag, O and Margairaz, M. (2016) </w:t>
      </w:r>
      <w:r w:rsidRPr="000D6202">
        <w:rPr>
          <w:rFonts w:ascii="Times New Roman" w:hAnsi="Times New Roman"/>
          <w:i/>
          <w:iCs/>
          <w:sz w:val="24"/>
          <w:szCs w:val="24"/>
          <w:lang w:val="en-GB"/>
        </w:rPr>
        <w:t>Les Banques centrales et l’Etat-nation</w:t>
      </w:r>
      <w:r w:rsidRPr="000D6202">
        <w:rPr>
          <w:rFonts w:ascii="Times New Roman" w:hAnsi="Times New Roman"/>
          <w:sz w:val="24"/>
          <w:szCs w:val="24"/>
          <w:lang w:val="en-GB"/>
        </w:rPr>
        <w:t xml:space="preserve">. </w:t>
      </w:r>
      <w:r w:rsidR="009E4BCD" w:rsidRPr="000D6202">
        <w:rPr>
          <w:rFonts w:ascii="Times New Roman" w:hAnsi="Times New Roman"/>
          <w:sz w:val="24"/>
          <w:szCs w:val="24"/>
          <w:lang w:val="en-GB"/>
        </w:rPr>
        <w:t xml:space="preserve">Paris: </w:t>
      </w:r>
      <w:r w:rsidRPr="000D6202">
        <w:rPr>
          <w:rFonts w:ascii="Times New Roman" w:hAnsi="Times New Roman"/>
          <w:sz w:val="24"/>
          <w:szCs w:val="24"/>
          <w:lang w:val="en-GB"/>
        </w:rPr>
        <w:t>Presses de Sciences Po.</w:t>
      </w:r>
    </w:p>
    <w:p w14:paraId="35B7EBB7" w14:textId="167058D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Fernandez-Albertos, J. (2015) </w:t>
      </w:r>
      <w:r w:rsidR="009E4BCD" w:rsidRPr="000D6202">
        <w:rPr>
          <w:rFonts w:ascii="Times New Roman" w:hAnsi="Times New Roman"/>
          <w:sz w:val="24"/>
          <w:szCs w:val="24"/>
          <w:lang w:val="en-GB"/>
        </w:rPr>
        <w:t>“</w:t>
      </w:r>
      <w:r w:rsidRPr="000D6202">
        <w:rPr>
          <w:rFonts w:ascii="Times New Roman" w:hAnsi="Times New Roman"/>
          <w:sz w:val="24"/>
          <w:szCs w:val="24"/>
          <w:lang w:val="en-GB"/>
        </w:rPr>
        <w:t>The Politics of Central Bank Independence</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Annual Review of Political Science</w:t>
      </w:r>
      <w:r w:rsidRPr="000D6202">
        <w:rPr>
          <w:rFonts w:ascii="Times New Roman" w:hAnsi="Times New Roman"/>
          <w:sz w:val="24"/>
          <w:szCs w:val="24"/>
          <w:lang w:val="en-GB"/>
        </w:rPr>
        <w:t xml:space="preserve"> 18(2): 217-237.</w:t>
      </w:r>
    </w:p>
    <w:p w14:paraId="7532AC93" w14:textId="61C7EC59" w:rsidR="009E4BCD" w:rsidRPr="000D6202" w:rsidRDefault="009E4BCD"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Fontan, C. (2013). “Frankenstein in Europe. The impact of the European Central Bank on the management of the eurozone crisis”. </w:t>
      </w:r>
      <w:r w:rsidRPr="000D6202">
        <w:rPr>
          <w:rFonts w:ascii="Times New Roman" w:hAnsi="Times New Roman"/>
          <w:i/>
          <w:sz w:val="24"/>
          <w:szCs w:val="24"/>
          <w:lang w:val="en-GB"/>
        </w:rPr>
        <w:t>Politique européenne</w:t>
      </w:r>
      <w:r w:rsidRPr="000D6202">
        <w:rPr>
          <w:rFonts w:ascii="Times New Roman" w:hAnsi="Times New Roman"/>
          <w:sz w:val="24"/>
          <w:szCs w:val="24"/>
          <w:lang w:val="en-GB"/>
        </w:rPr>
        <w:t xml:space="preserve"> 42, 22–45. </w:t>
      </w:r>
    </w:p>
    <w:p w14:paraId="4EFC4CFA" w14:textId="0795A15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Fontan, C. (2016) </w:t>
      </w:r>
      <w:r w:rsidR="009E4BCD" w:rsidRPr="000D6202">
        <w:rPr>
          <w:rFonts w:ascii="Times New Roman" w:hAnsi="Times New Roman"/>
          <w:sz w:val="24"/>
          <w:szCs w:val="24"/>
          <w:lang w:val="en-GB"/>
        </w:rPr>
        <w:t>“</w:t>
      </w:r>
      <w:r w:rsidRPr="000D6202">
        <w:rPr>
          <w:rFonts w:ascii="Times New Roman" w:hAnsi="Times New Roman"/>
          <w:sz w:val="24"/>
          <w:szCs w:val="24"/>
          <w:lang w:val="en-GB"/>
        </w:rPr>
        <w:t>Une banque centrale au-dessus des nations? Faire peser les intérêts nationaux au sein de la Banque Centrale Européenne</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Revue française d’administration publique</w:t>
      </w:r>
      <w:r w:rsidR="009E4BCD" w:rsidRPr="000D6202">
        <w:rPr>
          <w:rFonts w:ascii="Times New Roman" w:hAnsi="Times New Roman"/>
          <w:sz w:val="24"/>
          <w:szCs w:val="24"/>
          <w:lang w:val="en-GB"/>
        </w:rPr>
        <w:t>, 2,</w:t>
      </w:r>
      <w:r w:rsidRPr="000D6202">
        <w:rPr>
          <w:rFonts w:ascii="Times New Roman" w:hAnsi="Times New Roman"/>
          <w:sz w:val="24"/>
          <w:szCs w:val="24"/>
          <w:lang w:val="en-GB"/>
        </w:rPr>
        <w:t xml:space="preserve"> 491–504.</w:t>
      </w:r>
    </w:p>
    <w:p w14:paraId="4021EC49" w14:textId="2C0DD3A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Fontan, C. (2017)</w:t>
      </w:r>
      <w:r w:rsidR="009E4BCD" w:rsidRPr="000D6202">
        <w:rPr>
          <w:rFonts w:ascii="Times New Roman" w:hAnsi="Times New Roman"/>
          <w:sz w:val="24"/>
          <w:szCs w:val="24"/>
          <w:lang w:val="en-GB"/>
        </w:rPr>
        <w:t xml:space="preserve"> “La BCE peut-elle mener u</w:t>
      </w:r>
      <w:r w:rsidRPr="000D6202">
        <w:rPr>
          <w:rFonts w:ascii="Times New Roman" w:hAnsi="Times New Roman"/>
          <w:sz w:val="24"/>
          <w:szCs w:val="24"/>
          <w:lang w:val="en-GB"/>
        </w:rPr>
        <w:t>ne P</w:t>
      </w:r>
      <w:r w:rsidR="009E4BCD" w:rsidRPr="000D6202">
        <w:rPr>
          <w:rFonts w:ascii="Times New Roman" w:hAnsi="Times New Roman"/>
          <w:sz w:val="24"/>
          <w:szCs w:val="24"/>
          <w:lang w:val="en-GB"/>
        </w:rPr>
        <w:t>olitique « industrielle » à la place d</w:t>
      </w:r>
      <w:r w:rsidRPr="000D6202">
        <w:rPr>
          <w:rFonts w:ascii="Times New Roman" w:hAnsi="Times New Roman"/>
          <w:sz w:val="24"/>
          <w:szCs w:val="24"/>
          <w:lang w:val="en-GB"/>
        </w:rPr>
        <w:t>es États ?</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La Revue Nouvelle</w:t>
      </w:r>
      <w:r w:rsidRPr="000D6202">
        <w:rPr>
          <w:rFonts w:ascii="Times New Roman" w:hAnsi="Times New Roman"/>
          <w:sz w:val="24"/>
          <w:szCs w:val="24"/>
          <w:lang w:val="en-GB"/>
        </w:rPr>
        <w:t xml:space="preserve"> 6: 67–74.</w:t>
      </w:r>
    </w:p>
    <w:p w14:paraId="297D7321" w14:textId="04A5C5AD" w:rsidR="008A4EFA" w:rsidRPr="000D6202" w:rsidRDefault="008A4EFA" w:rsidP="00DB3E05">
      <w:pPr>
        <w:spacing w:after="0" w:line="240" w:lineRule="auto"/>
        <w:ind w:left="794" w:hanging="794"/>
        <w:contextualSpacing/>
        <w:jc w:val="both"/>
        <w:rPr>
          <w:rFonts w:ascii="Times New Roman" w:hAnsi="Times New Roman"/>
          <w:i/>
          <w:sz w:val="24"/>
          <w:szCs w:val="24"/>
          <w:lang w:val="en-GB"/>
        </w:rPr>
      </w:pPr>
      <w:r w:rsidRPr="000D6202">
        <w:rPr>
          <w:rFonts w:ascii="Times New Roman" w:hAnsi="Times New Roman"/>
          <w:sz w:val="24"/>
          <w:szCs w:val="24"/>
          <w:lang w:val="en-GB"/>
        </w:rPr>
        <w:t xml:space="preserve">Fontan, C. (2018) “Frankfurt's double standard: the politics of the European Central Bank during the Eurozone crisis”, </w:t>
      </w:r>
      <w:r w:rsidRPr="000D6202">
        <w:rPr>
          <w:rFonts w:ascii="Times New Roman" w:hAnsi="Times New Roman"/>
          <w:i/>
          <w:sz w:val="24"/>
          <w:szCs w:val="24"/>
          <w:lang w:val="en-GB"/>
        </w:rPr>
        <w:t>Cambridge Journal of International Relations</w:t>
      </w:r>
      <w:r w:rsidRPr="000D6202">
        <w:rPr>
          <w:rFonts w:ascii="Times New Roman" w:hAnsi="Times New Roman"/>
          <w:sz w:val="24"/>
          <w:szCs w:val="24"/>
          <w:lang w:val="en-GB"/>
        </w:rPr>
        <w:t>, online view</w:t>
      </w:r>
    </w:p>
    <w:p w14:paraId="707281B6" w14:textId="4439DA6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Fontan, C.,  Claveau, F. and Dietsch, P. (2016). </w:t>
      </w:r>
      <w:r w:rsidR="009E4BCD" w:rsidRPr="000D6202">
        <w:rPr>
          <w:rFonts w:ascii="Times New Roman" w:hAnsi="Times New Roman"/>
          <w:sz w:val="24"/>
          <w:szCs w:val="24"/>
          <w:lang w:val="en-GB"/>
        </w:rPr>
        <w:t>“</w:t>
      </w:r>
      <w:r w:rsidRPr="000D6202">
        <w:rPr>
          <w:rFonts w:ascii="Times New Roman" w:hAnsi="Times New Roman"/>
          <w:sz w:val="24"/>
          <w:szCs w:val="24"/>
          <w:lang w:val="en-GB"/>
        </w:rPr>
        <w:t>Central Banking and Inequalities: Taking off the Blinders</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Politics, Philosophy &amp; Economics</w:t>
      </w:r>
      <w:r w:rsidRPr="000D6202">
        <w:rPr>
          <w:rFonts w:ascii="Times New Roman" w:hAnsi="Times New Roman"/>
          <w:sz w:val="24"/>
          <w:szCs w:val="24"/>
          <w:lang w:val="en-GB"/>
        </w:rPr>
        <w:t xml:space="preserve"> 15(4): 319–57. </w:t>
      </w:r>
    </w:p>
    <w:p w14:paraId="73E7111C" w14:textId="26332D7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Gabor, D. (2016) </w:t>
      </w:r>
      <w:r w:rsidR="009E4BCD" w:rsidRPr="000D6202">
        <w:rPr>
          <w:rFonts w:ascii="Times New Roman" w:hAnsi="Times New Roman"/>
          <w:sz w:val="24"/>
          <w:szCs w:val="24"/>
          <w:lang w:val="en-GB"/>
        </w:rPr>
        <w:t>“</w:t>
      </w:r>
      <w:r w:rsidRPr="000D6202">
        <w:rPr>
          <w:rFonts w:ascii="Times New Roman" w:hAnsi="Times New Roman"/>
          <w:sz w:val="24"/>
          <w:szCs w:val="24"/>
          <w:lang w:val="en-GB"/>
        </w:rPr>
        <w:t>A Step Too Far? The European Financial Transactions Tax on Shadow Banking</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European Public Policy</w:t>
      </w:r>
      <w:r w:rsidRPr="000D6202">
        <w:rPr>
          <w:rFonts w:ascii="Times New Roman" w:hAnsi="Times New Roman"/>
          <w:sz w:val="24"/>
          <w:szCs w:val="24"/>
          <w:lang w:val="en-GB"/>
        </w:rPr>
        <w:t xml:space="preserve"> 23(6): 925–945.</w:t>
      </w:r>
    </w:p>
    <w:p w14:paraId="028851E4" w14:textId="5564B97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Gabor, D. and Ban, C. (2016) </w:t>
      </w:r>
      <w:r w:rsidR="009E4BCD" w:rsidRPr="000D6202">
        <w:rPr>
          <w:rFonts w:ascii="Times New Roman" w:hAnsi="Times New Roman"/>
          <w:sz w:val="24"/>
          <w:szCs w:val="24"/>
          <w:lang w:val="en-GB"/>
        </w:rPr>
        <w:t>“</w:t>
      </w:r>
      <w:r w:rsidRPr="000D6202">
        <w:rPr>
          <w:rFonts w:ascii="Times New Roman" w:hAnsi="Times New Roman"/>
          <w:sz w:val="24"/>
          <w:szCs w:val="24"/>
          <w:lang w:val="en-GB"/>
        </w:rPr>
        <w:t>Banking on Bonds: The New Links Between States and Markets</w:t>
      </w:r>
      <w:r w:rsidR="009E4BCD"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Journal of Common Market Studies</w:t>
      </w:r>
      <w:r w:rsidRPr="000D6202">
        <w:rPr>
          <w:rFonts w:ascii="Times New Roman" w:hAnsi="Times New Roman"/>
          <w:i/>
          <w:sz w:val="24"/>
          <w:szCs w:val="24"/>
          <w:lang w:val="en-GB"/>
        </w:rPr>
        <w:t xml:space="preserve"> </w:t>
      </w:r>
      <w:r w:rsidRPr="000D6202">
        <w:rPr>
          <w:rFonts w:ascii="Times New Roman" w:hAnsi="Times New Roman"/>
          <w:sz w:val="24"/>
          <w:szCs w:val="24"/>
          <w:lang w:val="en-GB"/>
        </w:rPr>
        <w:t>54(3): 617–35.</w:t>
      </w:r>
    </w:p>
    <w:p w14:paraId="42BA4EE7" w14:textId="2E7F93F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lastRenderedPageBreak/>
        <w:t xml:space="preserve">Gabor, D. and Vestergaard, J. (2018) </w:t>
      </w:r>
      <w:r w:rsidR="004E0BDC" w:rsidRPr="000D6202">
        <w:rPr>
          <w:rFonts w:ascii="Times New Roman" w:hAnsi="Times New Roman"/>
          <w:sz w:val="24"/>
          <w:szCs w:val="24"/>
          <w:lang w:val="en-GB"/>
        </w:rPr>
        <w:t>“</w:t>
      </w:r>
      <w:r w:rsidRPr="000D6202">
        <w:rPr>
          <w:rFonts w:ascii="Times New Roman" w:hAnsi="Times New Roman"/>
          <w:sz w:val="24"/>
          <w:szCs w:val="24"/>
          <w:lang w:val="en-GB"/>
        </w:rPr>
        <w:t>Chasing unicorns: The European single safe asset project</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 xml:space="preserve">Competition &amp; Change </w:t>
      </w:r>
      <w:r w:rsidRPr="000D6202">
        <w:rPr>
          <w:rFonts w:ascii="Times New Roman" w:hAnsi="Times New Roman"/>
          <w:sz w:val="24"/>
          <w:szCs w:val="24"/>
          <w:lang w:val="en-GB"/>
        </w:rPr>
        <w:t>22(2): 139-164.</w:t>
      </w:r>
    </w:p>
    <w:p w14:paraId="0071BACF" w14:textId="51C51CB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Genovese, F., Schneider, G. and Wassmann, P. (2016) </w:t>
      </w:r>
      <w:r w:rsidR="004E0BDC" w:rsidRPr="000D6202">
        <w:rPr>
          <w:rFonts w:ascii="Times New Roman" w:hAnsi="Times New Roman"/>
          <w:sz w:val="24"/>
          <w:szCs w:val="24"/>
          <w:lang w:val="en-GB"/>
        </w:rPr>
        <w:t>“</w:t>
      </w:r>
      <w:r w:rsidRPr="000D6202">
        <w:rPr>
          <w:rFonts w:ascii="Times New Roman" w:hAnsi="Times New Roman"/>
          <w:sz w:val="24"/>
          <w:szCs w:val="24"/>
          <w:lang w:val="en-GB"/>
        </w:rPr>
        <w:t>The Eurotower strikes back: Crises, adjustments, and Europe’s austerity protests</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Comparative Political Studies</w:t>
      </w:r>
      <w:r w:rsidRPr="000D6202">
        <w:rPr>
          <w:rFonts w:ascii="Times New Roman" w:hAnsi="Times New Roman"/>
          <w:sz w:val="24"/>
          <w:szCs w:val="24"/>
          <w:lang w:val="en-GB"/>
        </w:rPr>
        <w:t xml:space="preserve"> 49: 939–967.</w:t>
      </w:r>
    </w:p>
    <w:p w14:paraId="261834DF" w14:textId="6D1AF41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Goodhart, C, Gabor, D. Vestergaard, J. and Ertürk, I (2014) </w:t>
      </w:r>
      <w:r w:rsidRPr="000D6202">
        <w:rPr>
          <w:rFonts w:ascii="Times New Roman" w:hAnsi="Times New Roman"/>
          <w:i/>
          <w:iCs/>
          <w:sz w:val="24"/>
          <w:szCs w:val="24"/>
          <w:lang w:val="en-GB"/>
        </w:rPr>
        <w:t>Central Banking at a Crossroads: Europe and Beyond</w:t>
      </w:r>
      <w:r w:rsidRPr="000D6202">
        <w:rPr>
          <w:rFonts w:ascii="Times New Roman" w:hAnsi="Times New Roman"/>
          <w:sz w:val="24"/>
          <w:szCs w:val="24"/>
          <w:lang w:val="en-GB"/>
        </w:rPr>
        <w:t>. London: Anthem Press.</w:t>
      </w:r>
    </w:p>
    <w:p w14:paraId="09B12628" w14:textId="36647DF3" w:rsidR="00DB3E05" w:rsidRPr="000D6202" w:rsidRDefault="00DB3E05" w:rsidP="00DB3E05">
      <w:pPr>
        <w:tabs>
          <w:tab w:val="left" w:pos="2622"/>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Goodhart, C. (2011) </w:t>
      </w:r>
      <w:r w:rsidR="004E0BDC" w:rsidRPr="000D6202">
        <w:rPr>
          <w:rFonts w:ascii="Times New Roman" w:hAnsi="Times New Roman"/>
          <w:sz w:val="24"/>
          <w:szCs w:val="24"/>
          <w:lang w:val="en-GB"/>
        </w:rPr>
        <w:t>“</w:t>
      </w:r>
      <w:r w:rsidRPr="000D6202">
        <w:rPr>
          <w:rFonts w:ascii="Times New Roman" w:hAnsi="Times New Roman"/>
          <w:sz w:val="24"/>
          <w:szCs w:val="24"/>
          <w:lang w:val="en-GB"/>
        </w:rPr>
        <w:t>The changing role of central banks</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Financial History Review</w:t>
      </w:r>
      <w:r w:rsidRPr="000D6202">
        <w:rPr>
          <w:rFonts w:ascii="Times New Roman" w:hAnsi="Times New Roman"/>
          <w:sz w:val="24"/>
          <w:szCs w:val="24"/>
          <w:lang w:val="en-GB"/>
        </w:rPr>
        <w:t xml:space="preserve">, </w:t>
      </w:r>
      <w:r w:rsidRPr="000D6202">
        <w:rPr>
          <w:rFonts w:ascii="Times New Roman" w:eastAsia="MingLiU_HKSCS" w:hAnsi="Times New Roman"/>
          <w:sz w:val="24"/>
          <w:szCs w:val="24"/>
          <w:lang w:val="en-GB"/>
        </w:rPr>
        <w:t>18(2): 135-54.</w:t>
      </w:r>
    </w:p>
    <w:p w14:paraId="6C119506" w14:textId="1DD1132E"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Green, J. and Lavery, S. (2015) </w:t>
      </w:r>
      <w:r w:rsidR="004E0BDC" w:rsidRPr="000D6202">
        <w:rPr>
          <w:rFonts w:ascii="Times New Roman" w:hAnsi="Times New Roman"/>
          <w:sz w:val="24"/>
          <w:szCs w:val="24"/>
          <w:lang w:val="en-GB"/>
        </w:rPr>
        <w:t>“</w:t>
      </w:r>
      <w:r w:rsidRPr="000D6202">
        <w:rPr>
          <w:rFonts w:ascii="Times New Roman" w:hAnsi="Times New Roman"/>
          <w:sz w:val="24"/>
          <w:szCs w:val="24"/>
          <w:lang w:val="en-GB"/>
        </w:rPr>
        <w:t>The Regressive Recovery: Distribution, Inequality and State Power in Britain’s Post-Crisis Political Economy</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New Political Economy</w:t>
      </w:r>
      <w:r w:rsidRPr="000D6202">
        <w:rPr>
          <w:rFonts w:ascii="Times New Roman" w:hAnsi="Times New Roman"/>
          <w:sz w:val="24"/>
          <w:szCs w:val="24"/>
          <w:lang w:val="en-GB"/>
        </w:rPr>
        <w:t xml:space="preserve"> 20(6): 894–923. </w:t>
      </w:r>
    </w:p>
    <w:p w14:paraId="798EEA1F" w14:textId="4E9B4B2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Hall, P.A., Franzese, R.J. (1998) </w:t>
      </w:r>
      <w:r w:rsidR="004E0BDC" w:rsidRPr="000D6202">
        <w:rPr>
          <w:rFonts w:ascii="Times New Roman" w:hAnsi="Times New Roman"/>
          <w:sz w:val="24"/>
          <w:szCs w:val="24"/>
          <w:lang w:val="en-GB"/>
        </w:rPr>
        <w:t>“</w:t>
      </w:r>
      <w:r w:rsidRPr="000D6202">
        <w:rPr>
          <w:rFonts w:ascii="Times New Roman" w:hAnsi="Times New Roman"/>
          <w:sz w:val="24"/>
          <w:szCs w:val="24"/>
          <w:lang w:val="en-GB"/>
        </w:rPr>
        <w:t>Mixed Signals: Central Bank Independence, Coordinated Wage Bargaining, and European Monetary Union</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International Organization</w:t>
      </w:r>
      <w:r w:rsidRPr="000D6202">
        <w:rPr>
          <w:rFonts w:ascii="Times New Roman" w:hAnsi="Times New Roman"/>
          <w:sz w:val="24"/>
          <w:szCs w:val="24"/>
          <w:lang w:val="en-GB"/>
        </w:rPr>
        <w:t xml:space="preserve"> 52, 505–535. </w:t>
      </w:r>
    </w:p>
    <w:p w14:paraId="7AB88EE2" w14:textId="2F71F52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Hay, C. (2007) </w:t>
      </w:r>
      <w:r w:rsidRPr="000D6202">
        <w:rPr>
          <w:rFonts w:ascii="Times New Roman" w:hAnsi="Times New Roman"/>
          <w:i/>
          <w:sz w:val="24"/>
          <w:szCs w:val="24"/>
          <w:lang w:val="en-GB"/>
        </w:rPr>
        <w:t>Why we hate politics</w:t>
      </w:r>
      <w:r w:rsidRPr="000D6202">
        <w:rPr>
          <w:rFonts w:ascii="Times New Roman" w:hAnsi="Times New Roman"/>
          <w:sz w:val="24"/>
          <w:szCs w:val="24"/>
          <w:lang w:val="en-GB"/>
        </w:rPr>
        <w:t xml:space="preserve">. </w:t>
      </w:r>
      <w:r w:rsidR="004E0BDC" w:rsidRPr="000D6202">
        <w:rPr>
          <w:rFonts w:ascii="Times New Roman" w:hAnsi="Times New Roman"/>
          <w:sz w:val="24"/>
          <w:szCs w:val="24"/>
          <w:lang w:val="en-GB"/>
        </w:rPr>
        <w:t xml:space="preserve">Cambridge: </w:t>
      </w:r>
      <w:r w:rsidRPr="000D6202">
        <w:rPr>
          <w:rFonts w:ascii="Times New Roman" w:hAnsi="Times New Roman"/>
          <w:sz w:val="24"/>
          <w:szCs w:val="24"/>
          <w:lang w:val="en-GB"/>
        </w:rPr>
        <w:t>Polity.</w:t>
      </w:r>
    </w:p>
    <w:p w14:paraId="154E7C66" w14:textId="234158ED" w:rsidR="00DB3E05" w:rsidRPr="000D6202" w:rsidRDefault="00DB3E05" w:rsidP="00DB3E05">
      <w:pPr>
        <w:spacing w:after="0" w:line="240" w:lineRule="auto"/>
        <w:ind w:left="794" w:hanging="794"/>
        <w:contextualSpacing/>
        <w:jc w:val="both"/>
        <w:rPr>
          <w:rFonts w:ascii="Times New Roman" w:eastAsia="Times New Roman" w:hAnsi="Times New Roman"/>
          <w:sz w:val="24"/>
          <w:szCs w:val="24"/>
          <w:lang w:val="en-GB" w:eastAsia="fr-FR"/>
        </w:rPr>
      </w:pPr>
      <w:r w:rsidRPr="000D6202">
        <w:rPr>
          <w:rFonts w:ascii="Times New Roman" w:hAnsi="Times New Roman"/>
          <w:sz w:val="24"/>
          <w:szCs w:val="24"/>
          <w:lang w:val="en-GB"/>
        </w:rPr>
        <w:t xml:space="preserve">Hayo, B. (1998) </w:t>
      </w:r>
      <w:r w:rsidR="004E0BDC" w:rsidRPr="000D6202">
        <w:rPr>
          <w:rFonts w:ascii="Times New Roman" w:hAnsi="Times New Roman"/>
          <w:sz w:val="24"/>
          <w:szCs w:val="24"/>
          <w:lang w:val="en-GB"/>
        </w:rPr>
        <w:t>“</w:t>
      </w:r>
      <w:r w:rsidRPr="000D6202">
        <w:rPr>
          <w:rFonts w:ascii="Times New Roman" w:eastAsia="Times New Roman" w:hAnsi="Times New Roman"/>
          <w:sz w:val="24"/>
          <w:szCs w:val="24"/>
          <w:lang w:val="en-GB" w:eastAsia="fr-FR"/>
        </w:rPr>
        <w:t>Inflation culture, central bank independence and price stability</w:t>
      </w:r>
      <w:r w:rsidR="004E0BDC" w:rsidRPr="000D6202">
        <w:rPr>
          <w:rFonts w:ascii="Times New Roman" w:eastAsia="Times New Roman" w:hAnsi="Times New Roman"/>
          <w:i/>
          <w:sz w:val="24"/>
          <w:szCs w:val="24"/>
          <w:lang w:val="en-GB" w:eastAsia="fr-FR"/>
        </w:rPr>
        <w:t>”</w:t>
      </w:r>
      <w:r w:rsidRPr="000D6202">
        <w:rPr>
          <w:rFonts w:ascii="Times New Roman" w:eastAsia="Times New Roman" w:hAnsi="Times New Roman"/>
          <w:i/>
          <w:sz w:val="24"/>
          <w:szCs w:val="24"/>
          <w:lang w:val="en-GB" w:eastAsia="fr-FR"/>
        </w:rPr>
        <w:t>. European Journal of Political Economy</w:t>
      </w:r>
      <w:r w:rsidRPr="000D6202">
        <w:rPr>
          <w:rFonts w:ascii="Times New Roman" w:eastAsia="Times New Roman" w:hAnsi="Times New Roman"/>
          <w:sz w:val="24"/>
          <w:szCs w:val="24"/>
          <w:lang w:val="en-GB" w:eastAsia="fr-FR"/>
        </w:rPr>
        <w:t xml:space="preserve"> 14: 241–263</w:t>
      </w:r>
    </w:p>
    <w:p w14:paraId="7F07181D" w14:textId="1CFD48C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Helleiner, E. (2014). </w:t>
      </w:r>
      <w:r w:rsidRPr="000D6202">
        <w:rPr>
          <w:rFonts w:ascii="Times New Roman" w:hAnsi="Times New Roman"/>
          <w:i/>
          <w:iCs/>
          <w:sz w:val="24"/>
          <w:szCs w:val="24"/>
          <w:lang w:val="en-GB"/>
        </w:rPr>
        <w:t>The Status Quo Crisis: Global Financial Governance after the 2008 Meltdown</w:t>
      </w:r>
      <w:r w:rsidRPr="000D6202">
        <w:rPr>
          <w:rFonts w:ascii="Times New Roman" w:hAnsi="Times New Roman"/>
          <w:sz w:val="24"/>
          <w:szCs w:val="24"/>
          <w:lang w:val="en-GB"/>
        </w:rPr>
        <w:t xml:space="preserve">. </w:t>
      </w:r>
      <w:r w:rsidR="004E0BDC" w:rsidRPr="000D6202">
        <w:rPr>
          <w:rFonts w:ascii="Times New Roman" w:hAnsi="Times New Roman"/>
          <w:sz w:val="24"/>
          <w:szCs w:val="24"/>
          <w:lang w:val="en-GB"/>
        </w:rPr>
        <w:t xml:space="preserve">Oxford: </w:t>
      </w:r>
      <w:r w:rsidRPr="000D6202">
        <w:rPr>
          <w:rFonts w:ascii="Times New Roman" w:hAnsi="Times New Roman"/>
          <w:sz w:val="24"/>
          <w:szCs w:val="24"/>
          <w:lang w:val="en-GB"/>
        </w:rPr>
        <w:t>Oxford University Press.</w:t>
      </w:r>
    </w:p>
    <w:p w14:paraId="4E35002E" w14:textId="2F0B373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Henning, C.R. (2015) </w:t>
      </w:r>
      <w:r w:rsidR="004E0BDC" w:rsidRPr="000D6202">
        <w:rPr>
          <w:rFonts w:ascii="Times New Roman" w:hAnsi="Times New Roman"/>
          <w:sz w:val="24"/>
          <w:szCs w:val="24"/>
          <w:lang w:val="en-GB"/>
        </w:rPr>
        <w:t>“</w:t>
      </w:r>
      <w:r w:rsidRPr="000D6202">
        <w:rPr>
          <w:rFonts w:ascii="Times New Roman" w:hAnsi="Times New Roman"/>
          <w:sz w:val="24"/>
          <w:szCs w:val="24"/>
          <w:lang w:val="en-GB"/>
        </w:rPr>
        <w:t>The ECB as a Strategic Actor: Central Banking in a Politically Fragmented Monetary Union</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In: J. A. Caporaso and M. Rhodes (eds) </w:t>
      </w:r>
      <w:r w:rsidRPr="000D6202">
        <w:rPr>
          <w:rFonts w:ascii="Times New Roman" w:hAnsi="Times New Roman"/>
          <w:i/>
          <w:sz w:val="24"/>
          <w:szCs w:val="24"/>
          <w:lang w:val="en-GB"/>
        </w:rPr>
        <w:t xml:space="preserve">Europe’s Crises: Economic and Political Challenges of the Monetary Union. </w:t>
      </w:r>
      <w:r w:rsidR="004E0BDC" w:rsidRPr="000D6202">
        <w:rPr>
          <w:rFonts w:ascii="Times New Roman" w:hAnsi="Times New Roman"/>
          <w:sz w:val="24"/>
          <w:szCs w:val="24"/>
          <w:lang w:val="en-GB"/>
        </w:rPr>
        <w:t>Oxford</w:t>
      </w:r>
      <w:r w:rsidRPr="000D6202">
        <w:rPr>
          <w:rFonts w:ascii="Times New Roman" w:hAnsi="Times New Roman"/>
          <w:sz w:val="24"/>
          <w:szCs w:val="24"/>
          <w:lang w:val="en-GB"/>
        </w:rPr>
        <w:t xml:space="preserve">: Oxford University Press. </w:t>
      </w:r>
    </w:p>
    <w:p w14:paraId="6254B110" w14:textId="6A6872F3"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Heritier, A. and Lehmkuhl, D. (2011) </w:t>
      </w:r>
      <w:r w:rsidR="004E0BDC" w:rsidRPr="000D6202">
        <w:rPr>
          <w:rFonts w:ascii="Times New Roman" w:hAnsi="Times New Roman"/>
          <w:sz w:val="24"/>
          <w:szCs w:val="24"/>
          <w:lang w:val="en-GB"/>
        </w:rPr>
        <w:t>“</w:t>
      </w:r>
      <w:r w:rsidRPr="000D6202">
        <w:rPr>
          <w:rFonts w:ascii="Times New Roman" w:hAnsi="Times New Roman"/>
          <w:sz w:val="24"/>
          <w:szCs w:val="24"/>
          <w:lang w:val="en-GB"/>
        </w:rPr>
        <w:t>New Modes of Governance and Democratic Accountability</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Government and Opposition</w:t>
      </w:r>
      <w:r w:rsidRPr="000D6202">
        <w:rPr>
          <w:rFonts w:ascii="Times New Roman" w:hAnsi="Times New Roman"/>
          <w:sz w:val="24"/>
          <w:szCs w:val="24"/>
          <w:lang w:val="en-GB"/>
        </w:rPr>
        <w:t xml:space="preserve"> 46(1): 126–144.</w:t>
      </w:r>
    </w:p>
    <w:p w14:paraId="6619902C" w14:textId="2A798BD2" w:rsidR="00DB3E05" w:rsidRPr="000D6202" w:rsidRDefault="00DB3E05" w:rsidP="004E0BDC">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Hodson, D. (2011) </w:t>
      </w:r>
      <w:r w:rsidRPr="000D6202">
        <w:rPr>
          <w:rFonts w:ascii="Times New Roman" w:hAnsi="Times New Roman"/>
          <w:i/>
          <w:sz w:val="24"/>
          <w:szCs w:val="24"/>
          <w:lang w:val="en-GB"/>
        </w:rPr>
        <w:t>Governing the euro area in good times and bad</w:t>
      </w:r>
      <w:r w:rsidRPr="000D6202">
        <w:rPr>
          <w:rFonts w:ascii="Times New Roman" w:hAnsi="Times New Roman"/>
          <w:sz w:val="24"/>
          <w:szCs w:val="24"/>
          <w:lang w:val="en-GB"/>
        </w:rPr>
        <w:t xml:space="preserve">. </w:t>
      </w:r>
      <w:r w:rsidR="004E0BDC" w:rsidRPr="000D6202">
        <w:rPr>
          <w:rFonts w:ascii="Times New Roman" w:hAnsi="Times New Roman"/>
          <w:sz w:val="24"/>
          <w:szCs w:val="24"/>
          <w:lang w:val="en-GB"/>
        </w:rPr>
        <w:t xml:space="preserve">Oxford: </w:t>
      </w:r>
      <w:r w:rsidRPr="000D6202">
        <w:rPr>
          <w:rFonts w:ascii="Times New Roman" w:hAnsi="Times New Roman"/>
          <w:sz w:val="24"/>
          <w:szCs w:val="24"/>
          <w:lang w:val="en-GB"/>
        </w:rPr>
        <w:t>Oxford University.</w:t>
      </w:r>
    </w:p>
    <w:p w14:paraId="7DBCCE42" w14:textId="6AB15BD8" w:rsidR="00DB3E05" w:rsidRPr="000D6202" w:rsidRDefault="00DB3E05" w:rsidP="00DB3E05">
      <w:pPr>
        <w:spacing w:after="0" w:line="240" w:lineRule="auto"/>
        <w:ind w:left="794" w:hanging="794"/>
        <w:contextualSpacing/>
        <w:jc w:val="both"/>
        <w:rPr>
          <w:rFonts w:ascii="Times New Roman" w:hAnsi="Times New Roman"/>
          <w:i/>
          <w:iCs/>
          <w:sz w:val="24"/>
          <w:szCs w:val="24"/>
          <w:lang w:val="en-GB"/>
        </w:rPr>
      </w:pPr>
      <w:r w:rsidRPr="000D6202">
        <w:rPr>
          <w:rFonts w:ascii="Times New Roman" w:hAnsi="Times New Roman"/>
          <w:sz w:val="24"/>
          <w:szCs w:val="24"/>
          <w:lang w:val="en-GB"/>
        </w:rPr>
        <w:t xml:space="preserve">Högenauer, A-L. and Howarth, D. (2016) </w:t>
      </w:r>
      <w:r w:rsidR="004E0BDC" w:rsidRPr="000D6202">
        <w:rPr>
          <w:rFonts w:ascii="Times New Roman" w:hAnsi="Times New Roman"/>
          <w:sz w:val="24"/>
          <w:szCs w:val="24"/>
          <w:lang w:val="en-GB"/>
        </w:rPr>
        <w:t>“</w:t>
      </w:r>
      <w:r w:rsidRPr="000D6202">
        <w:rPr>
          <w:rFonts w:ascii="Times New Roman" w:hAnsi="Times New Roman"/>
          <w:sz w:val="24"/>
          <w:szCs w:val="24"/>
          <w:lang w:val="en-GB"/>
        </w:rPr>
        <w:t>Unconventional Monetary Policies and the European Central Bank’s Problematic Democratic Legitimacy</w:t>
      </w:r>
      <w:r w:rsidR="004E0BD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Zeitschrift für öffentliches Recht.</w:t>
      </w:r>
    </w:p>
    <w:p w14:paraId="4F41B7DB" w14:textId="08E5797E" w:rsidR="00DB3E05" w:rsidRPr="000D6202" w:rsidRDefault="00101A34"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Howarth, D</w:t>
      </w:r>
      <w:r w:rsidR="00DB3E05" w:rsidRPr="000D6202">
        <w:rPr>
          <w:rFonts w:ascii="Times New Roman" w:hAnsi="Times New Roman"/>
          <w:sz w:val="24"/>
          <w:szCs w:val="24"/>
          <w:lang w:val="en-GB"/>
        </w:rPr>
        <w:t xml:space="preserve">., Quaglia, L., 2016. </w:t>
      </w:r>
      <w:r w:rsidR="00DB3E05" w:rsidRPr="000D6202">
        <w:rPr>
          <w:rFonts w:ascii="Times New Roman" w:hAnsi="Times New Roman"/>
          <w:i/>
          <w:sz w:val="24"/>
          <w:szCs w:val="24"/>
          <w:lang w:val="en-GB"/>
        </w:rPr>
        <w:t>The Political Economy of European Banking Union</w:t>
      </w:r>
      <w:r w:rsidR="00DB3E05" w:rsidRPr="000D6202">
        <w:rPr>
          <w:rFonts w:ascii="Times New Roman" w:hAnsi="Times New Roman"/>
          <w:sz w:val="24"/>
          <w:szCs w:val="24"/>
          <w:lang w:val="en-GB"/>
        </w:rPr>
        <w:t>.</w:t>
      </w:r>
      <w:r w:rsidRPr="000D6202">
        <w:rPr>
          <w:rFonts w:ascii="Times New Roman" w:hAnsi="Times New Roman"/>
          <w:sz w:val="24"/>
          <w:szCs w:val="24"/>
          <w:lang w:val="en-GB"/>
        </w:rPr>
        <w:t xml:space="preserve"> Oxford:</w:t>
      </w:r>
      <w:r w:rsidR="00DB3E05" w:rsidRPr="000D6202">
        <w:rPr>
          <w:rFonts w:ascii="Times New Roman" w:hAnsi="Times New Roman"/>
          <w:sz w:val="24"/>
          <w:szCs w:val="24"/>
          <w:lang w:val="en-GB"/>
        </w:rPr>
        <w:t xml:space="preserve"> Oxford University Press.</w:t>
      </w:r>
    </w:p>
    <w:p w14:paraId="27372C65" w14:textId="3E3FC173" w:rsidR="00DB3E05" w:rsidRPr="000D6202" w:rsidRDefault="00DB3E05" w:rsidP="00DB3E05">
      <w:pPr>
        <w:spacing w:after="0" w:line="240" w:lineRule="auto"/>
        <w:ind w:left="794" w:hanging="794"/>
        <w:contextualSpacing/>
        <w:jc w:val="both"/>
        <w:rPr>
          <w:rFonts w:ascii="Times New Roman" w:hAnsi="Times New Roman"/>
          <w:i/>
          <w:iCs/>
          <w:sz w:val="24"/>
          <w:szCs w:val="24"/>
          <w:lang w:val="en-GB"/>
        </w:rPr>
      </w:pPr>
      <w:r w:rsidRPr="000D6202">
        <w:rPr>
          <w:rFonts w:ascii="Times New Roman" w:hAnsi="Times New Roman"/>
          <w:sz w:val="24"/>
          <w:szCs w:val="24"/>
          <w:lang w:val="en-GB"/>
        </w:rPr>
        <w:t xml:space="preserve">Hunt, T. and Hay, C. (2018) </w:t>
      </w:r>
      <w:r w:rsidRPr="000D6202">
        <w:rPr>
          <w:rFonts w:ascii="Times New Roman" w:hAnsi="Times New Roman"/>
          <w:i/>
          <w:sz w:val="24"/>
          <w:szCs w:val="24"/>
          <w:lang w:val="en-GB"/>
        </w:rPr>
        <w:t>The Coming Crisis</w:t>
      </w:r>
      <w:r w:rsidRPr="000D6202">
        <w:rPr>
          <w:rFonts w:ascii="Times New Roman" w:hAnsi="Times New Roman"/>
          <w:sz w:val="24"/>
          <w:szCs w:val="24"/>
          <w:lang w:val="en-GB"/>
        </w:rPr>
        <w:t xml:space="preserve">. </w:t>
      </w:r>
      <w:r w:rsidR="00101A34" w:rsidRPr="000D6202">
        <w:rPr>
          <w:rFonts w:ascii="Times New Roman" w:hAnsi="Times New Roman"/>
          <w:sz w:val="24"/>
          <w:szCs w:val="24"/>
          <w:lang w:val="en-GB"/>
        </w:rPr>
        <w:t xml:space="preserve">, Cham: </w:t>
      </w:r>
      <w:r w:rsidRPr="000D6202">
        <w:rPr>
          <w:rFonts w:ascii="Times New Roman" w:hAnsi="Times New Roman"/>
          <w:sz w:val="24"/>
          <w:szCs w:val="24"/>
          <w:lang w:val="en-GB"/>
        </w:rPr>
        <w:t>Palgrave Macmillan</w:t>
      </w:r>
    </w:p>
    <w:p w14:paraId="0AAEDE62" w14:textId="792F9C88"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International Monetary Fund (2013) </w:t>
      </w:r>
      <w:r w:rsidR="00101A34" w:rsidRPr="000D6202">
        <w:rPr>
          <w:rFonts w:ascii="Times New Roman" w:hAnsi="Times New Roman"/>
          <w:sz w:val="24"/>
          <w:szCs w:val="24"/>
          <w:lang w:val="en-GB"/>
        </w:rPr>
        <w:t>“</w:t>
      </w:r>
      <w:r w:rsidRPr="000D6202">
        <w:rPr>
          <w:rFonts w:ascii="Times New Roman" w:hAnsi="Times New Roman"/>
          <w:sz w:val="24"/>
          <w:szCs w:val="24"/>
          <w:lang w:val="en-GB"/>
        </w:rPr>
        <w:t>Unconventional Monetary Policies-Recent experience and prospects</w:t>
      </w:r>
      <w:r w:rsidR="00101A34"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Policy Papers</w:t>
      </w:r>
      <w:r w:rsidRPr="000D6202">
        <w:rPr>
          <w:rFonts w:ascii="Times New Roman" w:hAnsi="Times New Roman"/>
          <w:sz w:val="24"/>
          <w:szCs w:val="24"/>
          <w:lang w:val="en-GB"/>
        </w:rPr>
        <w:t>, April 2013</w:t>
      </w:r>
    </w:p>
    <w:p w14:paraId="71961836" w14:textId="0C60FB7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Issing, O. (2012) </w:t>
      </w:r>
      <w:r w:rsidR="00101A34" w:rsidRPr="000D6202">
        <w:rPr>
          <w:rFonts w:ascii="Times New Roman" w:hAnsi="Times New Roman"/>
          <w:sz w:val="24"/>
          <w:szCs w:val="24"/>
          <w:lang w:val="en-GB"/>
        </w:rPr>
        <w:t>“</w:t>
      </w:r>
      <w:r w:rsidRPr="000D6202">
        <w:rPr>
          <w:rFonts w:ascii="Times New Roman" w:hAnsi="Times New Roman"/>
          <w:sz w:val="24"/>
          <w:szCs w:val="24"/>
          <w:lang w:val="en-GB"/>
        </w:rPr>
        <w:t>The Mayekawa Lecture: Central Banks-Paradise Lost</w:t>
      </w:r>
      <w:r w:rsidR="00101A34"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Monetary and Economic Studies</w:t>
      </w:r>
      <w:r w:rsidRPr="000D6202">
        <w:rPr>
          <w:rFonts w:ascii="Times New Roman" w:hAnsi="Times New Roman"/>
          <w:sz w:val="24"/>
          <w:szCs w:val="24"/>
          <w:lang w:val="en-GB"/>
        </w:rPr>
        <w:t xml:space="preserve"> 30: 55-74.</w:t>
      </w:r>
    </w:p>
    <w:p w14:paraId="262BBBD1" w14:textId="4804655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Issing, O., Gaspar, V., Angeloni, I. and Tristani, O. (2001) </w:t>
      </w:r>
      <w:r w:rsidRPr="000D6202">
        <w:rPr>
          <w:rFonts w:ascii="Times New Roman" w:hAnsi="Times New Roman"/>
          <w:i/>
          <w:iCs/>
          <w:sz w:val="24"/>
          <w:szCs w:val="24"/>
          <w:lang w:val="en-GB"/>
        </w:rPr>
        <w:t>Monetary Policy in the Euro Area: Strategy and Decision-Making at the European Central Bank</w:t>
      </w:r>
      <w:r w:rsidRPr="000D6202">
        <w:rPr>
          <w:rFonts w:ascii="Times New Roman" w:hAnsi="Times New Roman"/>
          <w:sz w:val="24"/>
          <w:szCs w:val="24"/>
          <w:lang w:val="en-GB"/>
        </w:rPr>
        <w:t>. Cambridge: Cambridge University Press.</w:t>
      </w:r>
    </w:p>
    <w:p w14:paraId="76D0FF7D"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Jabko, N. (2006) </w:t>
      </w:r>
      <w:r w:rsidRPr="000D6202">
        <w:rPr>
          <w:rFonts w:ascii="Times New Roman" w:hAnsi="Times New Roman"/>
          <w:i/>
          <w:iCs/>
          <w:sz w:val="24"/>
          <w:szCs w:val="24"/>
          <w:lang w:val="en-GB"/>
        </w:rPr>
        <w:t>Playing the Market: A Political Strategy for Uniting Europe, 1985-2005</w:t>
      </w:r>
      <w:r w:rsidRPr="000D6202">
        <w:rPr>
          <w:rFonts w:ascii="Times New Roman" w:hAnsi="Times New Roman"/>
          <w:sz w:val="24"/>
          <w:szCs w:val="24"/>
          <w:lang w:val="en-GB"/>
        </w:rPr>
        <w:t>. Ithaca: Cornell University Press.</w:t>
      </w:r>
    </w:p>
    <w:p w14:paraId="4AE651F3" w14:textId="23A595A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Jacobs, L. R. and King</w:t>
      </w:r>
      <w:r w:rsidR="00101A34" w:rsidRPr="000D6202">
        <w:rPr>
          <w:rFonts w:ascii="Times New Roman" w:hAnsi="Times New Roman"/>
          <w:sz w:val="24"/>
          <w:szCs w:val="24"/>
          <w:lang w:val="en-GB"/>
        </w:rPr>
        <w:t>, D</w:t>
      </w:r>
      <w:r w:rsidRPr="000D6202">
        <w:rPr>
          <w:rFonts w:ascii="Times New Roman" w:hAnsi="Times New Roman"/>
          <w:sz w:val="24"/>
          <w:szCs w:val="24"/>
          <w:lang w:val="en-GB"/>
        </w:rPr>
        <w:t xml:space="preserve">. (2016) </w:t>
      </w:r>
      <w:r w:rsidRPr="000D6202">
        <w:rPr>
          <w:rFonts w:ascii="Times New Roman" w:hAnsi="Times New Roman"/>
          <w:i/>
          <w:iCs/>
          <w:sz w:val="24"/>
          <w:szCs w:val="24"/>
          <w:lang w:val="en-GB"/>
        </w:rPr>
        <w:t>Fed Power: How Finance Wins</w:t>
      </w:r>
      <w:r w:rsidRPr="000D6202">
        <w:rPr>
          <w:rFonts w:ascii="Times New Roman" w:hAnsi="Times New Roman"/>
          <w:sz w:val="24"/>
          <w:szCs w:val="24"/>
          <w:lang w:val="en-GB"/>
        </w:rPr>
        <w:t xml:space="preserve">. </w:t>
      </w:r>
      <w:r w:rsidR="00101A34" w:rsidRPr="000D6202">
        <w:rPr>
          <w:rFonts w:ascii="Times New Roman" w:hAnsi="Times New Roman"/>
          <w:sz w:val="24"/>
          <w:szCs w:val="24"/>
          <w:lang w:val="en-GB"/>
        </w:rPr>
        <w:t xml:space="preserve">Oxford: </w:t>
      </w:r>
      <w:r w:rsidRPr="000D6202">
        <w:rPr>
          <w:rFonts w:ascii="Times New Roman" w:hAnsi="Times New Roman"/>
          <w:sz w:val="24"/>
          <w:szCs w:val="24"/>
          <w:lang w:val="en-GB"/>
        </w:rPr>
        <w:t>Oxford University Press.</w:t>
      </w:r>
    </w:p>
    <w:p w14:paraId="00E2B4B8" w14:textId="77777777" w:rsidR="00DB3E05" w:rsidRPr="000D6202" w:rsidRDefault="00DB3E05" w:rsidP="00DB3E05">
      <w:pPr>
        <w:tabs>
          <w:tab w:val="left" w:pos="2622"/>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Johnson, S. and Kwak, J. (2010) </w:t>
      </w:r>
      <w:r w:rsidRPr="000D6202">
        <w:rPr>
          <w:rFonts w:ascii="Times New Roman" w:hAnsi="Times New Roman"/>
          <w:i/>
          <w:sz w:val="24"/>
          <w:szCs w:val="24"/>
          <w:lang w:val="en-GB"/>
        </w:rPr>
        <w:t>13 Bankers. The Wall Street Takeover and the Next Financial Meltdown</w:t>
      </w:r>
      <w:r w:rsidRPr="000D6202">
        <w:rPr>
          <w:rFonts w:ascii="Times New Roman" w:hAnsi="Times New Roman"/>
          <w:sz w:val="24"/>
          <w:szCs w:val="24"/>
          <w:lang w:val="en-GB"/>
        </w:rPr>
        <w:t>. New York: Pantheon Books.</w:t>
      </w:r>
    </w:p>
    <w:p w14:paraId="143B975E" w14:textId="50D8C5CA"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Juven, P.-A. and Lemoine, B. (2018) </w:t>
      </w:r>
      <w:r w:rsidR="00101A34" w:rsidRPr="000D6202">
        <w:rPr>
          <w:rFonts w:ascii="Times New Roman" w:hAnsi="Times New Roman"/>
          <w:sz w:val="24"/>
          <w:szCs w:val="24"/>
          <w:lang w:val="en-GB"/>
        </w:rPr>
        <w:t>“</w:t>
      </w:r>
      <w:r w:rsidRPr="000D6202">
        <w:rPr>
          <w:rFonts w:ascii="Times New Roman" w:hAnsi="Times New Roman"/>
          <w:sz w:val="24"/>
          <w:szCs w:val="24"/>
          <w:lang w:val="en-GB"/>
        </w:rPr>
        <w:t>Politiques de la faillite</w:t>
      </w:r>
      <w:r w:rsidR="00101A34"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Actes de la Recherche en Sciences Sociales</w:t>
      </w:r>
      <w:r w:rsidRPr="000D6202">
        <w:rPr>
          <w:rFonts w:ascii="Times New Roman" w:hAnsi="Times New Roman"/>
          <w:sz w:val="24"/>
          <w:szCs w:val="24"/>
          <w:lang w:val="en-GB"/>
        </w:rPr>
        <w:t>.</w:t>
      </w:r>
      <w:r w:rsidR="00101A34" w:rsidRPr="000D6202">
        <w:rPr>
          <w:rFonts w:ascii="Times New Roman" w:hAnsi="Times New Roman"/>
          <w:sz w:val="24"/>
          <w:szCs w:val="24"/>
          <w:lang w:val="en-GB"/>
        </w:rPr>
        <w:t xml:space="preserve"> Online view</w:t>
      </w:r>
    </w:p>
    <w:p w14:paraId="4D2A9E2E" w14:textId="52A3439B"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Kriesler, P., Lavoie, M. (2016) </w:t>
      </w:r>
      <w:r w:rsidR="00101A34" w:rsidRPr="000D6202">
        <w:rPr>
          <w:rFonts w:ascii="Times New Roman" w:hAnsi="Times New Roman"/>
          <w:sz w:val="24"/>
          <w:szCs w:val="24"/>
          <w:lang w:val="en-GB"/>
        </w:rPr>
        <w:t>“</w:t>
      </w:r>
      <w:r w:rsidRPr="000D6202">
        <w:rPr>
          <w:rFonts w:ascii="Times New Roman" w:hAnsi="Times New Roman"/>
          <w:sz w:val="24"/>
          <w:szCs w:val="24"/>
          <w:lang w:val="en-GB"/>
        </w:rPr>
        <w:t>The new consensus on monetary policy and its post-keynesian critique</w:t>
      </w:r>
      <w:r w:rsidR="00101A34" w:rsidRPr="000D6202">
        <w:rPr>
          <w:rFonts w:ascii="Times New Roman" w:hAnsi="Times New Roman"/>
          <w:sz w:val="24"/>
          <w:szCs w:val="24"/>
          <w:lang w:val="en-GB"/>
        </w:rPr>
        <w:t>”</w:t>
      </w:r>
      <w:r w:rsidRPr="000D6202">
        <w:rPr>
          <w:rFonts w:ascii="Times New Roman" w:hAnsi="Times New Roman"/>
          <w:sz w:val="24"/>
          <w:szCs w:val="24"/>
          <w:lang w:val="en-GB"/>
        </w:rPr>
        <w:t xml:space="preserve">. In Halevi, J., Harcourt, G., Kriesler, P. And Nevile, J. (eds.), </w:t>
      </w:r>
      <w:r w:rsidRPr="000D6202">
        <w:rPr>
          <w:rFonts w:ascii="Times New Roman" w:hAnsi="Times New Roman"/>
          <w:bCs/>
          <w:i/>
          <w:sz w:val="24"/>
          <w:szCs w:val="24"/>
          <w:lang w:val="en-GB"/>
        </w:rPr>
        <w:t xml:space="preserve">Post-Keynesian </w:t>
      </w:r>
      <w:r w:rsidRPr="000D6202">
        <w:rPr>
          <w:rFonts w:ascii="Times New Roman" w:hAnsi="Times New Roman"/>
          <w:bCs/>
          <w:i/>
          <w:sz w:val="24"/>
          <w:szCs w:val="24"/>
          <w:lang w:val="en-GB"/>
        </w:rPr>
        <w:lastRenderedPageBreak/>
        <w:t>Essays from Down Under, Volume IV: Essays on Theory</w:t>
      </w:r>
      <w:r w:rsidRPr="000D6202">
        <w:rPr>
          <w:rFonts w:ascii="Times New Roman" w:hAnsi="Times New Roman"/>
          <w:bCs/>
          <w:sz w:val="24"/>
          <w:szCs w:val="24"/>
          <w:lang w:val="en-GB"/>
        </w:rPr>
        <w:t xml:space="preserve">, </w:t>
      </w:r>
      <w:r w:rsidRPr="000D6202">
        <w:rPr>
          <w:rFonts w:ascii="Times New Roman" w:hAnsi="Times New Roman"/>
          <w:sz w:val="24"/>
          <w:szCs w:val="24"/>
          <w:lang w:val="en-GB"/>
        </w:rPr>
        <w:t>Cheltenham: Edward Elgar, pp. 388-407.</w:t>
      </w:r>
    </w:p>
    <w:p w14:paraId="7703366B" w14:textId="69BDB82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Krippner, G. R. (2012) </w:t>
      </w:r>
      <w:r w:rsidRPr="000D6202">
        <w:rPr>
          <w:rFonts w:ascii="Times New Roman" w:hAnsi="Times New Roman"/>
          <w:i/>
          <w:iCs/>
          <w:sz w:val="24"/>
          <w:szCs w:val="24"/>
          <w:lang w:val="en-GB"/>
        </w:rPr>
        <w:t>Capitalizing on Crisis: The Political Origins of the Rise of Finance</w:t>
      </w:r>
      <w:r w:rsidRPr="000D6202">
        <w:rPr>
          <w:rFonts w:ascii="Times New Roman" w:hAnsi="Times New Roman"/>
          <w:sz w:val="24"/>
          <w:szCs w:val="24"/>
          <w:lang w:val="en-GB"/>
        </w:rPr>
        <w:t xml:space="preserve">. </w:t>
      </w:r>
      <w:r w:rsidR="00101A34" w:rsidRPr="000D6202">
        <w:rPr>
          <w:rFonts w:ascii="Times New Roman" w:hAnsi="Times New Roman"/>
          <w:sz w:val="24"/>
          <w:szCs w:val="24"/>
          <w:lang w:val="en-GB"/>
        </w:rPr>
        <w:t xml:space="preserve">Cambridge: </w:t>
      </w:r>
      <w:r w:rsidRPr="000D6202">
        <w:rPr>
          <w:rFonts w:ascii="Times New Roman" w:hAnsi="Times New Roman"/>
          <w:sz w:val="24"/>
          <w:szCs w:val="24"/>
          <w:lang w:val="en-GB"/>
        </w:rPr>
        <w:t>Harvard University Press.</w:t>
      </w:r>
    </w:p>
    <w:p w14:paraId="514B9803" w14:textId="4C65830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Kwak, J., 2013. </w:t>
      </w:r>
      <w:r w:rsidR="00101A34" w:rsidRPr="000D6202">
        <w:rPr>
          <w:rFonts w:ascii="Times New Roman" w:hAnsi="Times New Roman"/>
          <w:sz w:val="24"/>
          <w:szCs w:val="24"/>
          <w:lang w:val="en-GB"/>
        </w:rPr>
        <w:t>“</w:t>
      </w:r>
      <w:r w:rsidRPr="000D6202">
        <w:rPr>
          <w:rFonts w:ascii="Times New Roman" w:hAnsi="Times New Roman"/>
          <w:sz w:val="24"/>
          <w:szCs w:val="24"/>
          <w:lang w:val="en-GB"/>
        </w:rPr>
        <w:t>Cultural Capture and the Financial Crisis</w:t>
      </w:r>
      <w:r w:rsidR="00101A34" w:rsidRPr="000D6202">
        <w:rPr>
          <w:rFonts w:ascii="Times New Roman" w:hAnsi="Times New Roman"/>
          <w:sz w:val="24"/>
          <w:szCs w:val="24"/>
          <w:lang w:val="en-GB"/>
        </w:rPr>
        <w:t>”</w:t>
      </w:r>
      <w:r w:rsidRPr="000D6202">
        <w:rPr>
          <w:rFonts w:ascii="Times New Roman" w:hAnsi="Times New Roman"/>
          <w:sz w:val="24"/>
          <w:szCs w:val="24"/>
          <w:lang w:val="en-GB"/>
        </w:rPr>
        <w:t xml:space="preserve">, in: Carpenter, D., Moss, D.A. (Eds.), </w:t>
      </w:r>
      <w:r w:rsidRPr="000D6202">
        <w:rPr>
          <w:rFonts w:ascii="Times New Roman" w:hAnsi="Times New Roman"/>
          <w:i/>
          <w:sz w:val="24"/>
          <w:szCs w:val="24"/>
          <w:lang w:val="en-GB"/>
        </w:rPr>
        <w:t>Preventing Regulatory Capture: Special Interest Influence and How to Limit It.</w:t>
      </w:r>
      <w:r w:rsidRPr="000D6202">
        <w:rPr>
          <w:rFonts w:ascii="Times New Roman" w:hAnsi="Times New Roman"/>
          <w:sz w:val="24"/>
          <w:szCs w:val="24"/>
          <w:lang w:val="en-GB"/>
        </w:rPr>
        <w:t xml:space="preserve"> </w:t>
      </w:r>
      <w:r w:rsidR="00101A34" w:rsidRPr="000D6202">
        <w:rPr>
          <w:rFonts w:ascii="Times New Roman" w:hAnsi="Times New Roman"/>
          <w:sz w:val="24"/>
          <w:szCs w:val="24"/>
          <w:lang w:val="en-GB"/>
        </w:rPr>
        <w:t xml:space="preserve">New York: </w:t>
      </w:r>
      <w:r w:rsidRPr="000D6202">
        <w:rPr>
          <w:rFonts w:ascii="Times New Roman" w:hAnsi="Times New Roman"/>
          <w:sz w:val="24"/>
          <w:szCs w:val="24"/>
          <w:lang w:val="en-GB"/>
        </w:rPr>
        <w:t>Cambridge University Press, 71–98.</w:t>
      </w:r>
    </w:p>
    <w:p w14:paraId="5C138FB8" w14:textId="6DD0046B"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Kydland, F. E. and Prescott, E. C. (1977) </w:t>
      </w:r>
      <w:r w:rsidR="00572BAC" w:rsidRPr="000D6202">
        <w:rPr>
          <w:rFonts w:ascii="Times New Roman" w:hAnsi="Times New Roman"/>
          <w:sz w:val="24"/>
          <w:szCs w:val="24"/>
          <w:lang w:val="en-GB"/>
        </w:rPr>
        <w:t>“</w:t>
      </w:r>
      <w:r w:rsidRPr="000D6202">
        <w:rPr>
          <w:rFonts w:ascii="Times New Roman" w:hAnsi="Times New Roman"/>
          <w:sz w:val="24"/>
          <w:szCs w:val="24"/>
          <w:lang w:val="en-GB"/>
        </w:rPr>
        <w:t>Rules Rather than Discretion: The Inconsistency of Optimal Plans</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The Journal of Political Economy</w:t>
      </w:r>
      <w:r w:rsidRPr="000D6202">
        <w:rPr>
          <w:rFonts w:ascii="Times New Roman" w:hAnsi="Times New Roman"/>
          <w:iCs/>
          <w:sz w:val="24"/>
          <w:szCs w:val="24"/>
          <w:lang w:val="en-GB"/>
        </w:rPr>
        <w:t>:</w:t>
      </w:r>
      <w:r w:rsidRPr="000D6202">
        <w:rPr>
          <w:rFonts w:ascii="Times New Roman" w:hAnsi="Times New Roman"/>
          <w:sz w:val="24"/>
          <w:szCs w:val="24"/>
          <w:lang w:val="en-GB"/>
        </w:rPr>
        <w:t xml:space="preserve"> 473–491.</w:t>
      </w:r>
      <w:r w:rsidR="00572BAC" w:rsidRPr="000D6202">
        <w:rPr>
          <w:rFonts w:ascii="Times New Roman" w:hAnsi="Times New Roman"/>
          <w:sz w:val="24"/>
          <w:szCs w:val="24"/>
          <w:lang w:val="en-GB"/>
        </w:rPr>
        <w:t xml:space="preserve"> </w:t>
      </w:r>
    </w:p>
    <w:p w14:paraId="757D5D82" w14:textId="65F5EA4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Lebaron, F., Dogan, A. (2016) </w:t>
      </w:r>
      <w:r w:rsidR="00572BAC" w:rsidRPr="000D6202">
        <w:rPr>
          <w:rFonts w:ascii="Times New Roman" w:hAnsi="Times New Roman"/>
          <w:sz w:val="24"/>
          <w:szCs w:val="24"/>
          <w:lang w:val="en-GB"/>
        </w:rPr>
        <w:t>“</w:t>
      </w:r>
      <w:r w:rsidRPr="000D6202">
        <w:rPr>
          <w:rFonts w:ascii="Times New Roman" w:hAnsi="Times New Roman"/>
          <w:sz w:val="24"/>
          <w:szCs w:val="24"/>
          <w:lang w:val="en-GB"/>
        </w:rPr>
        <w:t>Do Central Bankers’ Biographies Matter</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Sociologica</w:t>
      </w:r>
      <w:r w:rsidR="00572BAC" w:rsidRPr="000D6202">
        <w:rPr>
          <w:rFonts w:ascii="Times New Roman" w:hAnsi="Times New Roman"/>
          <w:sz w:val="24"/>
          <w:szCs w:val="24"/>
          <w:lang w:val="en-GB"/>
        </w:rPr>
        <w:t xml:space="preserve"> 2. 1-37 doi: 10.2383/85290</w:t>
      </w:r>
    </w:p>
    <w:p w14:paraId="657931FF" w14:textId="5A3B7A1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Lemoine, B. (2016) </w:t>
      </w:r>
      <w:r w:rsidRPr="000D6202">
        <w:rPr>
          <w:rFonts w:ascii="Times New Roman" w:hAnsi="Times New Roman"/>
          <w:i/>
          <w:sz w:val="24"/>
          <w:szCs w:val="24"/>
          <w:lang w:val="en-GB"/>
        </w:rPr>
        <w:t>L’ordre de la dette: Enquête sur les infortunes de l’État et la prospérité du marché</w:t>
      </w:r>
      <w:r w:rsidRPr="000D6202">
        <w:rPr>
          <w:rFonts w:ascii="Times New Roman" w:hAnsi="Times New Roman"/>
          <w:sz w:val="24"/>
          <w:szCs w:val="24"/>
          <w:lang w:val="en-GB"/>
        </w:rPr>
        <w:t>.</w:t>
      </w:r>
      <w:r w:rsidR="00572BAC" w:rsidRPr="000D6202">
        <w:rPr>
          <w:rFonts w:ascii="Times New Roman" w:hAnsi="Times New Roman"/>
          <w:sz w:val="24"/>
          <w:szCs w:val="24"/>
          <w:lang w:val="en-GB"/>
        </w:rPr>
        <w:t xml:space="preserve"> Paris:</w:t>
      </w:r>
      <w:r w:rsidRPr="000D6202">
        <w:rPr>
          <w:rFonts w:ascii="Times New Roman" w:hAnsi="Times New Roman"/>
          <w:sz w:val="24"/>
          <w:szCs w:val="24"/>
          <w:lang w:val="en-GB"/>
        </w:rPr>
        <w:t xml:space="preserve"> La Découverte.</w:t>
      </w:r>
    </w:p>
    <w:p w14:paraId="757FE185" w14:textId="5C2741D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Lombardi, D. and Moschella, M. (2016) </w:t>
      </w:r>
      <w:r w:rsidR="00572BAC" w:rsidRPr="000D6202">
        <w:rPr>
          <w:rFonts w:ascii="Times New Roman" w:hAnsi="Times New Roman"/>
          <w:sz w:val="24"/>
          <w:szCs w:val="24"/>
          <w:lang w:val="en-GB"/>
        </w:rPr>
        <w:t>“</w:t>
      </w:r>
      <w:r w:rsidRPr="000D6202">
        <w:rPr>
          <w:rFonts w:ascii="Times New Roman" w:hAnsi="Times New Roman"/>
          <w:sz w:val="24"/>
          <w:szCs w:val="24"/>
          <w:lang w:val="en-GB"/>
        </w:rPr>
        <w:t>The government bond buying programmes of the European Central Bank: an analysis of their policy settings</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Journal of European Public Policy</w:t>
      </w:r>
      <w:r w:rsidRPr="000D6202">
        <w:rPr>
          <w:rFonts w:ascii="Times New Roman" w:hAnsi="Times New Roman"/>
          <w:sz w:val="24"/>
          <w:szCs w:val="24"/>
          <w:lang w:val="en-GB"/>
        </w:rPr>
        <w:t xml:space="preserve"> 23: 851–870.</w:t>
      </w:r>
    </w:p>
    <w:p w14:paraId="45FB9C02" w14:textId="08EEE05E"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Majone, G. (1996) </w:t>
      </w:r>
      <w:r w:rsidRPr="000D6202">
        <w:rPr>
          <w:rFonts w:ascii="Times New Roman" w:hAnsi="Times New Roman"/>
          <w:i/>
          <w:iCs/>
          <w:sz w:val="24"/>
          <w:szCs w:val="24"/>
          <w:lang w:val="en-GB"/>
        </w:rPr>
        <w:t>Regulating Europe</w:t>
      </w:r>
      <w:r w:rsidRPr="000D6202">
        <w:rPr>
          <w:rFonts w:ascii="Times New Roman" w:hAnsi="Times New Roman"/>
          <w:sz w:val="24"/>
          <w:szCs w:val="24"/>
          <w:lang w:val="en-GB"/>
        </w:rPr>
        <w:t>. Lond</w:t>
      </w:r>
      <w:r w:rsidR="00572BAC" w:rsidRPr="000D6202">
        <w:rPr>
          <w:rFonts w:ascii="Times New Roman" w:hAnsi="Times New Roman"/>
          <w:sz w:val="24"/>
          <w:szCs w:val="24"/>
          <w:lang w:val="en-GB"/>
        </w:rPr>
        <w:t>on</w:t>
      </w:r>
      <w:r w:rsidRPr="000D6202">
        <w:rPr>
          <w:rFonts w:ascii="Times New Roman" w:hAnsi="Times New Roman"/>
          <w:sz w:val="24"/>
          <w:szCs w:val="24"/>
          <w:lang w:val="en-GB"/>
        </w:rPr>
        <w:t>: Routledge.</w:t>
      </w:r>
    </w:p>
    <w:p w14:paraId="609CD9C2" w14:textId="5FD6E651"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Marcussen, M. (2009) </w:t>
      </w:r>
      <w:r w:rsidR="00572BAC" w:rsidRPr="000D6202">
        <w:rPr>
          <w:rFonts w:ascii="Times New Roman" w:hAnsi="Times New Roman"/>
          <w:sz w:val="24"/>
          <w:szCs w:val="24"/>
          <w:lang w:val="en-GB"/>
        </w:rPr>
        <w:t>“</w:t>
      </w:r>
      <w:r w:rsidRPr="000D6202">
        <w:rPr>
          <w:rFonts w:ascii="Times New Roman" w:hAnsi="Times New Roman"/>
          <w:sz w:val="24"/>
          <w:szCs w:val="24"/>
          <w:lang w:val="en-GB"/>
        </w:rPr>
        <w:t>Scientization of Central Banking: The Politics of A-Politicization</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In K. H. F. Dyson and Marcussen, M. </w:t>
      </w:r>
      <w:r w:rsidRPr="000D6202">
        <w:rPr>
          <w:rFonts w:ascii="Times New Roman" w:hAnsi="Times New Roman"/>
          <w:i/>
          <w:iCs/>
          <w:sz w:val="24"/>
          <w:szCs w:val="24"/>
          <w:lang w:val="en-GB"/>
        </w:rPr>
        <w:t>Central Banks in the Age of the Euro: Europeanization, Convergence, and Power</w:t>
      </w:r>
      <w:r w:rsidRPr="000D6202">
        <w:rPr>
          <w:rFonts w:ascii="Times New Roman" w:hAnsi="Times New Roman"/>
          <w:sz w:val="24"/>
          <w:szCs w:val="24"/>
          <w:lang w:val="en-GB"/>
        </w:rPr>
        <w:t>. Oxford: Oxford University Press, pp 373–90.</w:t>
      </w:r>
    </w:p>
    <w:p w14:paraId="7C5AC9EE" w14:textId="6715023B"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Matikainen, S., Campiglio, E. and Zenghelis, D. (2017) </w:t>
      </w:r>
      <w:r w:rsidR="00572BAC" w:rsidRPr="000D6202">
        <w:rPr>
          <w:rFonts w:ascii="Times New Roman" w:hAnsi="Times New Roman"/>
          <w:sz w:val="24"/>
          <w:szCs w:val="24"/>
          <w:lang w:val="en-GB"/>
        </w:rPr>
        <w:t>“</w:t>
      </w:r>
      <w:r w:rsidRPr="000D6202">
        <w:rPr>
          <w:rFonts w:ascii="Times New Roman" w:hAnsi="Times New Roman"/>
          <w:sz w:val="24"/>
          <w:szCs w:val="24"/>
          <w:lang w:val="en-GB"/>
        </w:rPr>
        <w:t>The Climate Impact of Quantitative Easing</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Grantham Institute Policy Papers</w:t>
      </w:r>
      <w:r w:rsidRPr="000D6202">
        <w:rPr>
          <w:rFonts w:ascii="Times New Roman" w:hAnsi="Times New Roman"/>
          <w:sz w:val="24"/>
          <w:szCs w:val="24"/>
          <w:lang w:val="en-GB"/>
        </w:rPr>
        <w:t>: 1–36.</w:t>
      </w:r>
    </w:p>
    <w:p w14:paraId="4201A33A" w14:textId="6FAD22A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McNamara, K. (1998) </w:t>
      </w:r>
      <w:r w:rsidRPr="000D6202">
        <w:rPr>
          <w:rFonts w:ascii="Times New Roman" w:hAnsi="Times New Roman"/>
          <w:i/>
          <w:sz w:val="24"/>
          <w:szCs w:val="24"/>
          <w:lang w:val="en-GB"/>
        </w:rPr>
        <w:t>The currency of ideas: monetary politics in the European Union</w:t>
      </w:r>
      <w:r w:rsidRPr="000D6202">
        <w:rPr>
          <w:rFonts w:ascii="Times New Roman" w:hAnsi="Times New Roman"/>
          <w:sz w:val="24"/>
          <w:szCs w:val="24"/>
          <w:lang w:val="en-GB"/>
        </w:rPr>
        <w:t xml:space="preserve">. </w:t>
      </w:r>
      <w:r w:rsidR="00572BAC" w:rsidRPr="000D6202">
        <w:rPr>
          <w:rFonts w:ascii="Times New Roman" w:hAnsi="Times New Roman"/>
          <w:sz w:val="24"/>
          <w:szCs w:val="24"/>
          <w:lang w:val="en-GB"/>
        </w:rPr>
        <w:t>Ithaca: Cornell University Press</w:t>
      </w:r>
      <w:r w:rsidRPr="000D6202">
        <w:rPr>
          <w:rFonts w:ascii="Times New Roman" w:hAnsi="Times New Roman"/>
          <w:sz w:val="24"/>
          <w:szCs w:val="24"/>
          <w:lang w:val="en-GB"/>
        </w:rPr>
        <w:t>.</w:t>
      </w:r>
    </w:p>
    <w:p w14:paraId="53DFB3F9" w14:textId="6A5F4FAC"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McNamara, K. (2002) </w:t>
      </w:r>
      <w:r w:rsidR="00572BAC" w:rsidRPr="000D6202">
        <w:rPr>
          <w:rFonts w:ascii="Times New Roman" w:hAnsi="Times New Roman"/>
          <w:sz w:val="24"/>
          <w:szCs w:val="24"/>
          <w:lang w:val="en-GB"/>
        </w:rPr>
        <w:t>“</w:t>
      </w:r>
      <w:r w:rsidRPr="000D6202">
        <w:rPr>
          <w:rFonts w:ascii="Times New Roman" w:hAnsi="Times New Roman"/>
          <w:sz w:val="24"/>
          <w:szCs w:val="24"/>
          <w:lang w:val="en-GB"/>
        </w:rPr>
        <w:t>Rational Fictions: Central Bank Independence and the Social Logic of Delegation</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West European Politics</w:t>
      </w:r>
      <w:r w:rsidRPr="000D6202">
        <w:rPr>
          <w:rFonts w:ascii="Times New Roman" w:hAnsi="Times New Roman"/>
          <w:i/>
          <w:sz w:val="24"/>
          <w:szCs w:val="24"/>
          <w:lang w:val="en-GB"/>
        </w:rPr>
        <w:t xml:space="preserve"> </w:t>
      </w:r>
      <w:r w:rsidRPr="000D6202">
        <w:rPr>
          <w:rFonts w:ascii="Times New Roman" w:hAnsi="Times New Roman"/>
          <w:sz w:val="24"/>
          <w:szCs w:val="24"/>
          <w:lang w:val="en-GB"/>
        </w:rPr>
        <w:t>25(1): 47–76.</w:t>
      </w:r>
    </w:p>
    <w:p w14:paraId="4808315F" w14:textId="73D326CD"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McPhilemy, S., 2016. </w:t>
      </w:r>
      <w:r w:rsidR="00572BAC" w:rsidRPr="000D6202">
        <w:rPr>
          <w:rFonts w:ascii="Times New Roman" w:hAnsi="Times New Roman"/>
          <w:sz w:val="24"/>
          <w:szCs w:val="24"/>
          <w:lang w:val="en-GB"/>
        </w:rPr>
        <w:t>“</w:t>
      </w:r>
      <w:r w:rsidRPr="000D6202">
        <w:rPr>
          <w:rFonts w:ascii="Times New Roman" w:hAnsi="Times New Roman"/>
          <w:sz w:val="24"/>
          <w:szCs w:val="24"/>
          <w:lang w:val="en-GB"/>
        </w:rPr>
        <w:t>Integrating macro-prudential policy: central banks as the ‘third force’in EU financial reform</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West European Politics</w:t>
      </w:r>
      <w:r w:rsidRPr="000D6202">
        <w:rPr>
          <w:rFonts w:ascii="Times New Roman" w:hAnsi="Times New Roman"/>
          <w:sz w:val="24"/>
          <w:szCs w:val="24"/>
          <w:lang w:val="en-GB"/>
        </w:rPr>
        <w:t xml:space="preserve"> 39, 526–544.</w:t>
      </w:r>
    </w:p>
    <w:p w14:paraId="7D5AE226" w14:textId="3EB2B70E"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Mehrling, P. (2010) </w:t>
      </w:r>
      <w:r w:rsidRPr="000D6202">
        <w:rPr>
          <w:rFonts w:ascii="Times New Roman" w:hAnsi="Times New Roman"/>
          <w:i/>
          <w:iCs/>
          <w:sz w:val="24"/>
          <w:szCs w:val="24"/>
          <w:lang w:val="en-GB"/>
        </w:rPr>
        <w:t>The New Lombard Street: How the Fed Became the Dealer of Last Resort</w:t>
      </w:r>
      <w:r w:rsidRPr="000D6202">
        <w:rPr>
          <w:rFonts w:ascii="Times New Roman" w:hAnsi="Times New Roman"/>
          <w:i/>
          <w:sz w:val="24"/>
          <w:szCs w:val="24"/>
          <w:lang w:val="en-GB"/>
        </w:rPr>
        <w:t>.</w:t>
      </w:r>
      <w:r w:rsidRPr="000D6202">
        <w:rPr>
          <w:rFonts w:ascii="Times New Roman" w:hAnsi="Times New Roman"/>
          <w:sz w:val="24"/>
          <w:szCs w:val="24"/>
          <w:lang w:val="en-GB"/>
        </w:rPr>
        <w:t xml:space="preserve"> Princeton</w:t>
      </w:r>
      <w:r w:rsidR="00572BAC" w:rsidRPr="000D6202">
        <w:rPr>
          <w:rFonts w:ascii="Times New Roman" w:hAnsi="Times New Roman"/>
          <w:sz w:val="24"/>
          <w:szCs w:val="24"/>
          <w:lang w:val="en-GB"/>
        </w:rPr>
        <w:t xml:space="preserve">: </w:t>
      </w:r>
      <w:r w:rsidRPr="000D6202">
        <w:rPr>
          <w:rFonts w:ascii="Times New Roman" w:hAnsi="Times New Roman"/>
          <w:sz w:val="24"/>
          <w:szCs w:val="24"/>
          <w:lang w:val="en-GB"/>
        </w:rPr>
        <w:t>Princeton University Press.</w:t>
      </w:r>
    </w:p>
    <w:p w14:paraId="22A2C770" w14:textId="69CB915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Montecino, J. A. and Epstein, G. (2015) </w:t>
      </w:r>
      <w:r w:rsidR="00572BAC" w:rsidRPr="000D6202">
        <w:rPr>
          <w:rFonts w:ascii="Times New Roman" w:hAnsi="Times New Roman"/>
          <w:sz w:val="24"/>
          <w:szCs w:val="24"/>
          <w:lang w:val="en-GB"/>
        </w:rPr>
        <w:t>“</w:t>
      </w:r>
      <w:r w:rsidRPr="000D6202">
        <w:rPr>
          <w:rFonts w:ascii="Times New Roman" w:hAnsi="Times New Roman"/>
          <w:sz w:val="24"/>
          <w:szCs w:val="24"/>
          <w:lang w:val="en-GB"/>
        </w:rPr>
        <w:t>Did Quantitative Easing Increase Income Inequality?</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INET Working Paper</w:t>
      </w:r>
      <w:r w:rsidRPr="000D6202">
        <w:rPr>
          <w:rFonts w:ascii="Times New Roman" w:hAnsi="Times New Roman"/>
          <w:sz w:val="24"/>
          <w:szCs w:val="24"/>
          <w:lang w:val="en-GB"/>
        </w:rPr>
        <w:t xml:space="preserve"> 28. </w:t>
      </w:r>
    </w:p>
    <w:p w14:paraId="59C9E270" w14:textId="57352526"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Mudge, S. L. and Vauchez, A. (2016) </w:t>
      </w:r>
      <w:r w:rsidR="00572BAC" w:rsidRPr="000D6202">
        <w:rPr>
          <w:rFonts w:ascii="Times New Roman" w:hAnsi="Times New Roman"/>
          <w:sz w:val="24"/>
          <w:szCs w:val="24"/>
          <w:lang w:val="en-GB"/>
        </w:rPr>
        <w:t>“</w:t>
      </w:r>
      <w:r w:rsidRPr="000D6202">
        <w:rPr>
          <w:rFonts w:ascii="Times New Roman" w:hAnsi="Times New Roman"/>
          <w:sz w:val="24"/>
          <w:szCs w:val="24"/>
          <w:lang w:val="en-GB"/>
        </w:rPr>
        <w:t>Fielding Supranationalism: The European Central Bank as a Field Effect</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The Sociological Review Monographs</w:t>
      </w:r>
      <w:r w:rsidRPr="000D6202">
        <w:rPr>
          <w:rFonts w:ascii="Times New Roman" w:hAnsi="Times New Roman"/>
          <w:sz w:val="24"/>
          <w:szCs w:val="24"/>
          <w:lang w:val="en-GB"/>
        </w:rPr>
        <w:t xml:space="preserve"> 64(2): 146–69.</w:t>
      </w:r>
    </w:p>
    <w:p w14:paraId="3100B8DB" w14:textId="7D5D3ADA" w:rsidR="00DB3E05" w:rsidRPr="000D6202" w:rsidRDefault="00DB3E05" w:rsidP="00DB3E05">
      <w:pPr>
        <w:spacing w:after="0" w:line="240" w:lineRule="auto"/>
        <w:ind w:left="794" w:hanging="794"/>
        <w:contextualSpacing/>
        <w:jc w:val="both"/>
        <w:rPr>
          <w:rFonts w:ascii="Times New Roman" w:eastAsia="Times New Roman" w:hAnsi="Times New Roman"/>
          <w:sz w:val="24"/>
          <w:szCs w:val="24"/>
          <w:lang w:val="en-GB"/>
        </w:rPr>
      </w:pPr>
      <w:r w:rsidRPr="000D6202">
        <w:rPr>
          <w:rFonts w:ascii="Times New Roman" w:hAnsi="Times New Roman"/>
          <w:sz w:val="24"/>
          <w:szCs w:val="24"/>
          <w:lang w:val="en-GB"/>
        </w:rPr>
        <w:t xml:space="preserve">Omarova, S. T. (2018) </w:t>
      </w:r>
      <w:r w:rsidR="00572BAC" w:rsidRPr="000D6202">
        <w:rPr>
          <w:rFonts w:ascii="Times New Roman" w:hAnsi="Times New Roman"/>
          <w:sz w:val="24"/>
          <w:szCs w:val="24"/>
          <w:lang w:val="en-GB"/>
        </w:rPr>
        <w:t>“</w:t>
      </w:r>
      <w:r w:rsidRPr="000D6202">
        <w:rPr>
          <w:rFonts w:ascii="Times New Roman" w:hAnsi="Times New Roman"/>
          <w:sz w:val="24"/>
          <w:szCs w:val="24"/>
          <w:lang w:val="en-GB"/>
        </w:rPr>
        <w:t>Central Banks, Systemic Risk and Financial Sector Structural Reform</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Cornell Legal Studies Research Paper</w:t>
      </w:r>
      <w:r w:rsidRPr="000D6202">
        <w:rPr>
          <w:rFonts w:ascii="Times New Roman" w:hAnsi="Times New Roman"/>
          <w:sz w:val="24"/>
          <w:szCs w:val="24"/>
          <w:lang w:val="en-GB"/>
        </w:rPr>
        <w:t xml:space="preserve"> No. 18-04. </w:t>
      </w:r>
    </w:p>
    <w:p w14:paraId="03C07F0E" w14:textId="77777777"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Palley, T. (2013) </w:t>
      </w:r>
      <w:r w:rsidRPr="000D6202">
        <w:rPr>
          <w:rFonts w:ascii="Times New Roman" w:hAnsi="Times New Roman"/>
          <w:i/>
          <w:sz w:val="24"/>
          <w:szCs w:val="24"/>
          <w:lang w:val="en-GB"/>
        </w:rPr>
        <w:t xml:space="preserve">Financialization. </w:t>
      </w:r>
      <w:r w:rsidRPr="000D6202">
        <w:rPr>
          <w:rFonts w:ascii="Times New Roman" w:hAnsi="Times New Roman"/>
          <w:sz w:val="24"/>
          <w:szCs w:val="24"/>
          <w:lang w:val="en-GB"/>
        </w:rPr>
        <w:t>Basingstoke: Palgrave Macmillan.</w:t>
      </w:r>
    </w:p>
    <w:p w14:paraId="0AD6F93B" w14:textId="39AA85BF"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shd w:val="clear" w:color="auto" w:fill="FFFFFF"/>
          <w:lang w:val="en-GB"/>
        </w:rPr>
      </w:pPr>
      <w:r w:rsidRPr="000D6202">
        <w:rPr>
          <w:rFonts w:ascii="Times New Roman" w:hAnsi="Times New Roman"/>
          <w:sz w:val="24"/>
          <w:szCs w:val="24"/>
          <w:shd w:val="clear" w:color="auto" w:fill="FFFFFF"/>
          <w:lang w:val="en-GB"/>
        </w:rPr>
        <w:t xml:space="preserve">Pfister, C, and Valla, N. (2015) </w:t>
      </w:r>
      <w:r w:rsidR="00572BAC" w:rsidRPr="000D6202">
        <w:rPr>
          <w:rFonts w:ascii="Times New Roman" w:hAnsi="Times New Roman"/>
          <w:sz w:val="24"/>
          <w:szCs w:val="24"/>
          <w:shd w:val="clear" w:color="auto" w:fill="FFFFFF"/>
          <w:lang w:val="en-GB"/>
        </w:rPr>
        <w:t>“</w:t>
      </w:r>
      <w:r w:rsidRPr="000D6202">
        <w:rPr>
          <w:rFonts w:ascii="Times New Roman" w:hAnsi="Times New Roman"/>
          <w:sz w:val="24"/>
          <w:szCs w:val="24"/>
          <w:shd w:val="clear" w:color="auto" w:fill="FFFFFF"/>
          <w:lang w:val="en-GB"/>
        </w:rPr>
        <w:t>Les Politiques Monétaires non Conventionnelles</w:t>
      </w:r>
      <w:r w:rsidR="00572BAC" w:rsidRPr="000D6202">
        <w:rPr>
          <w:rFonts w:ascii="Times New Roman" w:hAnsi="Times New Roman"/>
          <w:sz w:val="24"/>
          <w:szCs w:val="24"/>
          <w:shd w:val="clear" w:color="auto" w:fill="FFFFFF"/>
          <w:lang w:val="en-GB"/>
        </w:rPr>
        <w:t>”</w:t>
      </w:r>
      <w:r w:rsidRPr="000D6202">
        <w:rPr>
          <w:rFonts w:ascii="Times New Roman" w:hAnsi="Times New Roman"/>
          <w:sz w:val="24"/>
          <w:szCs w:val="24"/>
          <w:shd w:val="clear" w:color="auto" w:fill="FFFFFF"/>
          <w:lang w:val="en-GB"/>
        </w:rPr>
        <w:t xml:space="preserve">. In </w:t>
      </w:r>
      <w:r w:rsidRPr="000D6202">
        <w:rPr>
          <w:rFonts w:ascii="Times New Roman" w:hAnsi="Times New Roman"/>
          <w:i/>
          <w:sz w:val="24"/>
          <w:szCs w:val="24"/>
          <w:shd w:val="clear" w:color="auto" w:fill="FFFFFF"/>
          <w:lang w:val="en-GB"/>
        </w:rPr>
        <w:t xml:space="preserve">L’Economie Mondiale </w:t>
      </w:r>
      <w:r w:rsidRPr="000D6202">
        <w:rPr>
          <w:rFonts w:ascii="Times New Roman" w:hAnsi="Times New Roman"/>
          <w:sz w:val="24"/>
          <w:szCs w:val="24"/>
          <w:shd w:val="clear" w:color="auto" w:fill="FFFFFF"/>
          <w:lang w:val="en-GB"/>
        </w:rPr>
        <w:t>2016. Paris: La Découverte, pp 40-56.</w:t>
      </w:r>
    </w:p>
    <w:p w14:paraId="7424084C" w14:textId="3A70432C"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shd w:val="clear" w:color="auto" w:fill="FFFFFF"/>
          <w:lang w:val="en-GB"/>
        </w:rPr>
      </w:pPr>
      <w:r w:rsidRPr="000D6202">
        <w:rPr>
          <w:rFonts w:ascii="Times New Roman" w:hAnsi="Times New Roman"/>
          <w:sz w:val="24"/>
          <w:szCs w:val="24"/>
          <w:shd w:val="clear" w:color="auto" w:fill="FFFFFF"/>
          <w:lang w:val="en-GB"/>
        </w:rPr>
        <w:t xml:space="preserve">Pontusson, J., (2018). </w:t>
      </w:r>
      <w:r w:rsidR="00572BAC" w:rsidRPr="000D6202">
        <w:rPr>
          <w:rFonts w:ascii="Times New Roman" w:hAnsi="Times New Roman"/>
          <w:sz w:val="24"/>
          <w:szCs w:val="24"/>
          <w:shd w:val="clear" w:color="auto" w:fill="FFFFFF"/>
          <w:lang w:val="en-GB"/>
        </w:rPr>
        <w:t>“</w:t>
      </w:r>
      <w:r w:rsidRPr="000D6202">
        <w:rPr>
          <w:rFonts w:ascii="Times New Roman" w:hAnsi="Times New Roman"/>
          <w:sz w:val="24"/>
          <w:szCs w:val="24"/>
          <w:shd w:val="clear" w:color="auto" w:fill="FFFFFF"/>
          <w:lang w:val="en-GB"/>
        </w:rPr>
        <w:t>The Fed, finance and inequa</w:t>
      </w:r>
      <w:r w:rsidR="00572BAC" w:rsidRPr="000D6202">
        <w:rPr>
          <w:rFonts w:ascii="Times New Roman" w:hAnsi="Times New Roman"/>
          <w:sz w:val="24"/>
          <w:szCs w:val="24"/>
          <w:shd w:val="clear" w:color="auto" w:fill="FFFFFF"/>
          <w:lang w:val="en-GB"/>
        </w:rPr>
        <w:t>lity in comparative perspective”</w:t>
      </w:r>
      <w:r w:rsidRPr="000D6202">
        <w:rPr>
          <w:rFonts w:ascii="Times New Roman" w:hAnsi="Times New Roman"/>
          <w:sz w:val="24"/>
          <w:szCs w:val="24"/>
          <w:shd w:val="clear" w:color="auto" w:fill="FFFFFF"/>
          <w:lang w:val="en-GB"/>
        </w:rPr>
        <w:t>. PS: Political Science and Politics. (Forthcoming).</w:t>
      </w:r>
    </w:p>
    <w:p w14:paraId="255F50D5" w14:textId="12EA5099"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shd w:val="clear" w:color="auto" w:fill="FFFFFF"/>
          <w:lang w:val="en-GB"/>
        </w:rPr>
      </w:pPr>
      <w:r w:rsidRPr="000D6202">
        <w:rPr>
          <w:rFonts w:ascii="Times New Roman" w:hAnsi="Times New Roman"/>
          <w:sz w:val="24"/>
          <w:szCs w:val="24"/>
          <w:shd w:val="clear" w:color="auto" w:fill="FFFFFF"/>
          <w:lang w:val="en-GB"/>
        </w:rPr>
        <w:t xml:space="preserve">Posen, A. (2010) </w:t>
      </w:r>
      <w:r w:rsidR="00572BAC" w:rsidRPr="000D6202">
        <w:rPr>
          <w:rFonts w:ascii="Times New Roman" w:hAnsi="Times New Roman"/>
          <w:sz w:val="24"/>
          <w:szCs w:val="24"/>
          <w:shd w:val="clear" w:color="auto" w:fill="FFFFFF"/>
          <w:lang w:val="en-GB"/>
        </w:rPr>
        <w:t>“</w:t>
      </w:r>
      <w:r w:rsidRPr="000D6202">
        <w:rPr>
          <w:rFonts w:ascii="Times New Roman" w:hAnsi="Times New Roman"/>
          <w:sz w:val="24"/>
          <w:szCs w:val="24"/>
          <w:shd w:val="clear" w:color="auto" w:fill="FFFFFF"/>
          <w:lang w:val="en-GB"/>
        </w:rPr>
        <w:t>When Central Banks buy bonds independence and the power to say no</w:t>
      </w:r>
      <w:r w:rsidR="00572BAC" w:rsidRPr="000D6202">
        <w:rPr>
          <w:rFonts w:ascii="Times New Roman" w:hAnsi="Times New Roman"/>
          <w:sz w:val="24"/>
          <w:szCs w:val="24"/>
          <w:shd w:val="clear" w:color="auto" w:fill="FFFFFF"/>
          <w:lang w:val="en-GB"/>
        </w:rPr>
        <w:t>”</w:t>
      </w:r>
      <w:r w:rsidRPr="000D6202">
        <w:rPr>
          <w:rFonts w:ascii="Times New Roman" w:hAnsi="Times New Roman"/>
          <w:sz w:val="24"/>
          <w:szCs w:val="24"/>
          <w:shd w:val="clear" w:color="auto" w:fill="FFFFFF"/>
          <w:lang w:val="en-GB"/>
        </w:rPr>
        <w:t xml:space="preserve">. </w:t>
      </w:r>
      <w:r w:rsidRPr="000D6202">
        <w:rPr>
          <w:rFonts w:ascii="Times New Roman" w:hAnsi="Times New Roman"/>
          <w:i/>
          <w:sz w:val="24"/>
          <w:szCs w:val="24"/>
          <w:shd w:val="clear" w:color="auto" w:fill="FFFFFF"/>
          <w:lang w:val="en-GB"/>
        </w:rPr>
        <w:t xml:space="preserve">Speech at the </w:t>
      </w:r>
      <w:r w:rsidRPr="000D6202">
        <w:rPr>
          <w:rFonts w:ascii="Times New Roman" w:hAnsi="Times New Roman"/>
          <w:i/>
          <w:sz w:val="23"/>
          <w:szCs w:val="23"/>
          <w:lang w:val="en-GB" w:eastAsia="fr-FR"/>
        </w:rPr>
        <w:t>Barclays Capital 14th Annual Global Inflation-Linked Conference</w:t>
      </w:r>
      <w:r w:rsidRPr="000D6202">
        <w:rPr>
          <w:rFonts w:ascii="Times New Roman" w:hAnsi="Times New Roman"/>
          <w:sz w:val="23"/>
          <w:szCs w:val="23"/>
          <w:lang w:val="en-GB" w:eastAsia="fr-FR"/>
        </w:rPr>
        <w:t>, New York.</w:t>
      </w:r>
    </w:p>
    <w:p w14:paraId="54ACD3B8" w14:textId="4817C94D"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Reinhart, C. M. and Rogoff, K. S. (2013) </w:t>
      </w:r>
      <w:r w:rsidR="00572BAC" w:rsidRPr="000D6202">
        <w:rPr>
          <w:rFonts w:ascii="Times New Roman" w:hAnsi="Times New Roman"/>
          <w:sz w:val="24"/>
          <w:szCs w:val="24"/>
          <w:lang w:val="en-GB"/>
        </w:rPr>
        <w:t>“</w:t>
      </w:r>
      <w:r w:rsidRPr="000D6202">
        <w:rPr>
          <w:rFonts w:ascii="Times New Roman" w:hAnsi="Times New Roman"/>
          <w:sz w:val="24"/>
          <w:szCs w:val="24"/>
          <w:lang w:val="en-GB"/>
        </w:rPr>
        <w:t>Shifting Mandates: The Federal Reserve's First Centennia</w:t>
      </w:r>
      <w:r w:rsidR="00572BAC" w:rsidRPr="000D6202">
        <w:rPr>
          <w:rFonts w:ascii="Times New Roman" w:hAnsi="Times New Roman"/>
          <w:sz w:val="24"/>
          <w:szCs w:val="24"/>
          <w:lang w:val="en-GB"/>
        </w:rPr>
        <w:t>l”</w:t>
      </w:r>
      <w:r w:rsidRPr="000D6202">
        <w:rPr>
          <w:rFonts w:ascii="Times New Roman" w:hAnsi="Times New Roman"/>
          <w:sz w:val="24"/>
          <w:szCs w:val="24"/>
          <w:lang w:val="en-GB"/>
        </w:rPr>
        <w:t xml:space="preserve">. </w:t>
      </w:r>
      <w:r w:rsidRPr="000D6202">
        <w:rPr>
          <w:rFonts w:ascii="Times New Roman" w:hAnsi="Times New Roman"/>
          <w:i/>
          <w:sz w:val="24"/>
          <w:szCs w:val="24"/>
          <w:lang w:val="en-GB"/>
        </w:rPr>
        <w:t>American Economic Review</w:t>
      </w:r>
      <w:r w:rsidRPr="000D6202">
        <w:rPr>
          <w:rFonts w:ascii="Times New Roman" w:hAnsi="Times New Roman"/>
          <w:sz w:val="24"/>
          <w:szCs w:val="24"/>
          <w:lang w:val="en-GB"/>
        </w:rPr>
        <w:t xml:space="preserve"> 103(3): 48-54.</w:t>
      </w:r>
    </w:p>
    <w:p w14:paraId="0543199B" w14:textId="1AB7873C"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color w:val="000000"/>
          <w:sz w:val="24"/>
          <w:szCs w:val="24"/>
          <w:lang w:val="en-GB"/>
        </w:rPr>
        <w:t xml:space="preserve">Riles, A. (2018) </w:t>
      </w:r>
      <w:r w:rsidRPr="000D6202">
        <w:rPr>
          <w:rFonts w:ascii="Times New Roman" w:hAnsi="Times New Roman"/>
          <w:i/>
          <w:color w:val="000000"/>
          <w:sz w:val="24"/>
          <w:szCs w:val="24"/>
          <w:lang w:val="en-GB"/>
        </w:rPr>
        <w:t>Financial Citizenship. Experts, Publics, and the Politics of Central Banking</w:t>
      </w:r>
      <w:r w:rsidRPr="000D6202">
        <w:rPr>
          <w:rFonts w:ascii="Times New Roman" w:hAnsi="Times New Roman"/>
          <w:color w:val="000000"/>
          <w:sz w:val="24"/>
          <w:szCs w:val="24"/>
          <w:lang w:val="en-GB"/>
        </w:rPr>
        <w:t xml:space="preserve">. </w:t>
      </w:r>
      <w:r w:rsidR="00572BAC" w:rsidRPr="000D6202">
        <w:rPr>
          <w:rFonts w:ascii="Times New Roman" w:hAnsi="Times New Roman"/>
          <w:color w:val="000000"/>
          <w:sz w:val="24"/>
          <w:szCs w:val="24"/>
          <w:lang w:val="en-GB"/>
        </w:rPr>
        <w:t xml:space="preserve">Ithaca: </w:t>
      </w:r>
      <w:r w:rsidRPr="000D6202">
        <w:rPr>
          <w:rFonts w:ascii="Times New Roman" w:hAnsi="Times New Roman"/>
          <w:color w:val="000000"/>
          <w:sz w:val="24"/>
          <w:szCs w:val="24"/>
          <w:lang w:val="en-GB"/>
        </w:rPr>
        <w:t>Cornell University Press.</w:t>
      </w:r>
    </w:p>
    <w:p w14:paraId="7A3A0807" w14:textId="7C4C309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lastRenderedPageBreak/>
        <w:t xml:space="preserve">Rogoff, K. S. (1985) </w:t>
      </w:r>
      <w:r w:rsidR="00572BAC" w:rsidRPr="000D6202">
        <w:rPr>
          <w:rFonts w:ascii="Times New Roman" w:hAnsi="Times New Roman"/>
          <w:sz w:val="24"/>
          <w:szCs w:val="24"/>
          <w:lang w:val="en-GB"/>
        </w:rPr>
        <w:t>“</w:t>
      </w:r>
      <w:r w:rsidRPr="000D6202">
        <w:rPr>
          <w:rFonts w:ascii="Times New Roman" w:hAnsi="Times New Roman"/>
          <w:sz w:val="24"/>
          <w:szCs w:val="24"/>
          <w:lang w:val="en-GB"/>
        </w:rPr>
        <w:t>The Optimal Degree of Commitment to an Intermediate Monetary Target.</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iCs/>
          <w:sz w:val="24"/>
          <w:szCs w:val="24"/>
          <w:lang w:val="en-GB"/>
        </w:rPr>
        <w:t>The Quarterly Journal of Economics</w:t>
      </w:r>
      <w:r w:rsidRPr="000D6202">
        <w:rPr>
          <w:rFonts w:ascii="Times New Roman" w:hAnsi="Times New Roman"/>
          <w:sz w:val="24"/>
          <w:szCs w:val="24"/>
          <w:lang w:val="en-GB"/>
        </w:rPr>
        <w:t xml:space="preserve"> 100(4): 1169–89.</w:t>
      </w:r>
    </w:p>
    <w:p w14:paraId="1F52E1A4" w14:textId="6AAD1ABB"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Salines, M., Glöckler, G. and Truchlewski, Z. (2012) </w:t>
      </w:r>
      <w:r w:rsidR="00572BAC" w:rsidRPr="000D6202">
        <w:rPr>
          <w:rFonts w:ascii="Times New Roman" w:hAnsi="Times New Roman"/>
          <w:sz w:val="24"/>
          <w:szCs w:val="24"/>
          <w:lang w:val="en-GB"/>
        </w:rPr>
        <w:t>“</w:t>
      </w:r>
      <w:r w:rsidRPr="000D6202">
        <w:rPr>
          <w:rFonts w:ascii="Times New Roman" w:hAnsi="Times New Roman"/>
          <w:sz w:val="24"/>
          <w:szCs w:val="24"/>
          <w:lang w:val="en-GB"/>
        </w:rPr>
        <w:t>Existential crisis, incremental response: the eurozone’s dual institutional evolution 2007–2011</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u w:val="single"/>
          <w:lang w:val="en-GB"/>
        </w:rPr>
        <w:t>Journal of European Public Policy</w:t>
      </w:r>
      <w:r w:rsidRPr="000D6202">
        <w:rPr>
          <w:rFonts w:ascii="Times New Roman" w:hAnsi="Times New Roman"/>
          <w:sz w:val="24"/>
          <w:szCs w:val="24"/>
          <w:lang w:val="en-GB"/>
        </w:rPr>
        <w:t xml:space="preserve"> 19: 665–681. </w:t>
      </w:r>
    </w:p>
    <w:p w14:paraId="49A71609" w14:textId="6818F238"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Schoeller, M.G., 2018. </w:t>
      </w:r>
      <w:r w:rsidR="00572BAC" w:rsidRPr="000D6202">
        <w:rPr>
          <w:rFonts w:ascii="Times New Roman" w:hAnsi="Times New Roman"/>
          <w:sz w:val="24"/>
          <w:szCs w:val="24"/>
          <w:lang w:val="en-GB"/>
        </w:rPr>
        <w:t>“</w:t>
      </w:r>
      <w:r w:rsidRPr="000D6202">
        <w:rPr>
          <w:rFonts w:ascii="Times New Roman" w:hAnsi="Times New Roman"/>
          <w:sz w:val="24"/>
          <w:szCs w:val="24"/>
          <w:lang w:val="en-GB"/>
        </w:rPr>
        <w:t>Leadership by Default: The ECB and the Announcement of Outright Monetary Transactions</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Credit and Capital Markets</w:t>
      </w:r>
      <w:r w:rsidRPr="000D6202">
        <w:rPr>
          <w:rFonts w:ascii="Times New Roman" w:hAnsi="Times New Roman"/>
          <w:sz w:val="24"/>
          <w:szCs w:val="24"/>
          <w:lang w:val="en-GB"/>
        </w:rPr>
        <w:t xml:space="preserve"> 51, 73–91.</w:t>
      </w:r>
    </w:p>
    <w:p w14:paraId="2A053FB9" w14:textId="70148179"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Schoenmaker, D. (2011) </w:t>
      </w:r>
      <w:r w:rsidR="00572BAC" w:rsidRPr="000D6202">
        <w:rPr>
          <w:rFonts w:ascii="Times New Roman" w:hAnsi="Times New Roman"/>
          <w:sz w:val="24"/>
          <w:szCs w:val="24"/>
          <w:lang w:val="en-GB"/>
        </w:rPr>
        <w:t>“</w:t>
      </w:r>
      <w:r w:rsidRPr="000D6202">
        <w:rPr>
          <w:rFonts w:ascii="Times New Roman" w:hAnsi="Times New Roman"/>
          <w:sz w:val="24"/>
          <w:szCs w:val="24"/>
          <w:lang w:val="en-GB"/>
        </w:rPr>
        <w:t>The financial trilemma</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Economics Letters</w:t>
      </w:r>
      <w:r w:rsidRPr="000D6202">
        <w:rPr>
          <w:rFonts w:ascii="Times New Roman" w:hAnsi="Times New Roman"/>
          <w:sz w:val="24"/>
          <w:szCs w:val="24"/>
          <w:lang w:val="en-GB"/>
        </w:rPr>
        <w:t xml:space="preserve"> 111(1): 57-59.</w:t>
      </w:r>
    </w:p>
    <w:p w14:paraId="266A57A1"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Schulz, D. F. (2017) </w:t>
      </w:r>
      <w:r w:rsidRPr="000D6202">
        <w:rPr>
          <w:rFonts w:ascii="Times New Roman" w:hAnsi="Times New Roman"/>
          <w:i/>
          <w:sz w:val="24"/>
          <w:szCs w:val="24"/>
          <w:lang w:val="en-GB"/>
        </w:rPr>
        <w:t>Too Little, Too Late? How Central Bankers’ Beliefs Influence What They Do</w:t>
      </w:r>
      <w:r w:rsidRPr="000D6202">
        <w:rPr>
          <w:rFonts w:ascii="Times New Roman" w:hAnsi="Times New Roman"/>
          <w:sz w:val="24"/>
          <w:szCs w:val="24"/>
          <w:lang w:val="en-GB"/>
        </w:rPr>
        <w:t>. European University Institute PhD Theses, Florence.</w:t>
      </w:r>
    </w:p>
    <w:p w14:paraId="58B07089" w14:textId="1127030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Singh, M. (2015) </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Managing the Fed’s </w:t>
      </w:r>
      <w:r w:rsidR="00572BAC" w:rsidRPr="000D6202">
        <w:rPr>
          <w:rFonts w:ascii="Times New Roman" w:hAnsi="Times New Roman"/>
          <w:sz w:val="24"/>
          <w:szCs w:val="24"/>
          <w:lang w:val="en-GB"/>
        </w:rPr>
        <w:t>Lift-off</w:t>
      </w:r>
      <w:r w:rsidRPr="000D6202">
        <w:rPr>
          <w:rFonts w:ascii="Times New Roman" w:hAnsi="Times New Roman"/>
          <w:sz w:val="24"/>
          <w:szCs w:val="24"/>
          <w:lang w:val="en-GB"/>
        </w:rPr>
        <w:t xml:space="preserve"> and Transmission of Monetary Policy</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 xml:space="preserve">SSRN Scholarly Paper </w:t>
      </w:r>
      <w:r w:rsidRPr="000D6202">
        <w:rPr>
          <w:rFonts w:ascii="Times New Roman" w:hAnsi="Times New Roman"/>
          <w:sz w:val="24"/>
          <w:szCs w:val="24"/>
          <w:lang w:val="en-GB"/>
        </w:rPr>
        <w:t>ID 2672997. Rochester, NY: Social Science Research Network.</w:t>
      </w:r>
    </w:p>
    <w:p w14:paraId="03DA28B1" w14:textId="77777777"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Singleton, J. (2010) </w:t>
      </w:r>
      <w:r w:rsidRPr="000D6202">
        <w:rPr>
          <w:rFonts w:ascii="Times New Roman" w:hAnsi="Times New Roman"/>
          <w:i/>
          <w:iCs/>
          <w:sz w:val="24"/>
          <w:szCs w:val="24"/>
          <w:lang w:val="en-GB"/>
        </w:rPr>
        <w:t>Central Banking in the Twentieth Century</w:t>
      </w:r>
      <w:r w:rsidRPr="000D6202">
        <w:rPr>
          <w:rFonts w:ascii="Times New Roman" w:hAnsi="Times New Roman"/>
          <w:sz w:val="24"/>
          <w:szCs w:val="24"/>
          <w:lang w:val="en-GB"/>
        </w:rPr>
        <w:t>. Cambridge: Cambridge University Press.</w:t>
      </w:r>
    </w:p>
    <w:p w14:paraId="6357B782" w14:textId="64990C89"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Sinn, H.-W. (2014) </w:t>
      </w:r>
      <w:r w:rsidRPr="000D6202">
        <w:rPr>
          <w:rFonts w:ascii="Times New Roman" w:hAnsi="Times New Roman"/>
          <w:i/>
          <w:iCs/>
          <w:sz w:val="24"/>
          <w:szCs w:val="24"/>
          <w:lang w:val="en-GB"/>
        </w:rPr>
        <w:t>The Euro Trap: On Bursting Bubbles, Budgets, and Beliefs</w:t>
      </w:r>
      <w:r w:rsidRPr="000D6202">
        <w:rPr>
          <w:rFonts w:ascii="Times New Roman" w:hAnsi="Times New Roman"/>
          <w:sz w:val="24"/>
          <w:szCs w:val="24"/>
          <w:lang w:val="en-GB"/>
        </w:rPr>
        <w:t xml:space="preserve">. </w:t>
      </w:r>
      <w:r w:rsidR="00572BAC" w:rsidRPr="000D6202">
        <w:rPr>
          <w:rFonts w:ascii="Times New Roman" w:hAnsi="Times New Roman"/>
          <w:sz w:val="24"/>
          <w:szCs w:val="24"/>
          <w:lang w:val="en-GB"/>
        </w:rPr>
        <w:t xml:space="preserve">Oxford. </w:t>
      </w:r>
      <w:r w:rsidRPr="000D6202">
        <w:rPr>
          <w:rFonts w:ascii="Times New Roman" w:hAnsi="Times New Roman"/>
          <w:sz w:val="24"/>
          <w:szCs w:val="24"/>
          <w:lang w:val="en-GB"/>
        </w:rPr>
        <w:t>O</w:t>
      </w:r>
      <w:r w:rsidR="00572BAC" w:rsidRPr="000D6202">
        <w:rPr>
          <w:rFonts w:ascii="Times New Roman" w:hAnsi="Times New Roman"/>
          <w:sz w:val="24"/>
          <w:szCs w:val="24"/>
          <w:lang w:val="en-GB"/>
        </w:rPr>
        <w:t xml:space="preserve">xford </w:t>
      </w:r>
      <w:r w:rsidRPr="000D6202">
        <w:rPr>
          <w:rFonts w:ascii="Times New Roman" w:hAnsi="Times New Roman"/>
          <w:sz w:val="24"/>
          <w:szCs w:val="24"/>
          <w:lang w:val="en-GB"/>
        </w:rPr>
        <w:t>U</w:t>
      </w:r>
      <w:r w:rsidR="00572BAC" w:rsidRPr="000D6202">
        <w:rPr>
          <w:rFonts w:ascii="Times New Roman" w:hAnsi="Times New Roman"/>
          <w:sz w:val="24"/>
          <w:szCs w:val="24"/>
          <w:lang w:val="en-GB"/>
        </w:rPr>
        <w:t xml:space="preserve">niversity </w:t>
      </w:r>
      <w:r w:rsidRPr="000D6202">
        <w:rPr>
          <w:rFonts w:ascii="Times New Roman" w:hAnsi="Times New Roman"/>
          <w:sz w:val="24"/>
          <w:szCs w:val="24"/>
          <w:lang w:val="en-GB"/>
        </w:rPr>
        <w:t>P</w:t>
      </w:r>
      <w:r w:rsidR="00572BAC" w:rsidRPr="000D6202">
        <w:rPr>
          <w:rFonts w:ascii="Times New Roman" w:hAnsi="Times New Roman"/>
          <w:sz w:val="24"/>
          <w:szCs w:val="24"/>
          <w:lang w:val="en-GB"/>
        </w:rPr>
        <w:t>ress</w:t>
      </w:r>
      <w:r w:rsidRPr="000D6202">
        <w:rPr>
          <w:rFonts w:ascii="Times New Roman" w:hAnsi="Times New Roman"/>
          <w:sz w:val="24"/>
          <w:szCs w:val="24"/>
          <w:lang w:val="en-GB"/>
        </w:rPr>
        <w:t xml:space="preserve"> </w:t>
      </w:r>
    </w:p>
    <w:p w14:paraId="3727F2AF" w14:textId="03192364"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Smith, A. (2014) </w:t>
      </w:r>
      <w:r w:rsidR="00572BAC" w:rsidRPr="000D6202">
        <w:rPr>
          <w:rFonts w:ascii="Times New Roman" w:hAnsi="Times New Roman"/>
          <w:sz w:val="24"/>
          <w:szCs w:val="24"/>
          <w:lang w:val="en-GB"/>
        </w:rPr>
        <w:t>“</w:t>
      </w:r>
      <w:r w:rsidRPr="000D6202">
        <w:rPr>
          <w:rFonts w:ascii="Times New Roman" w:hAnsi="Times New Roman"/>
          <w:sz w:val="24"/>
          <w:szCs w:val="24"/>
          <w:lang w:val="en-GB"/>
        </w:rPr>
        <w:t>Usages scientifiques de « la crise » de 2008 et suite</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Politique européenne</w:t>
      </w:r>
      <w:r w:rsidRPr="000D6202">
        <w:rPr>
          <w:rFonts w:ascii="Times New Roman" w:hAnsi="Times New Roman"/>
          <w:sz w:val="24"/>
          <w:szCs w:val="24"/>
          <w:lang w:val="en-GB"/>
        </w:rPr>
        <w:t xml:space="preserve"> 44: 124–151.</w:t>
      </w:r>
    </w:p>
    <w:p w14:paraId="1295F21A" w14:textId="092EDDB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Stern, G.H., Feldman, R.J. (2004) </w:t>
      </w:r>
      <w:r w:rsidRPr="000D6202">
        <w:rPr>
          <w:rFonts w:ascii="Times New Roman" w:hAnsi="Times New Roman"/>
          <w:i/>
          <w:sz w:val="24"/>
          <w:szCs w:val="24"/>
          <w:lang w:val="en-GB"/>
        </w:rPr>
        <w:t xml:space="preserve">Too big to fail: The hazards of bank bailouts. </w:t>
      </w:r>
      <w:r w:rsidR="00572BAC" w:rsidRPr="000D6202">
        <w:rPr>
          <w:rFonts w:ascii="Times New Roman" w:hAnsi="Times New Roman"/>
          <w:sz w:val="24"/>
          <w:szCs w:val="24"/>
          <w:lang w:val="en-GB"/>
        </w:rPr>
        <w:t>Washington:</w:t>
      </w:r>
      <w:r w:rsidR="00572BAC" w:rsidRPr="000D6202">
        <w:rPr>
          <w:rFonts w:ascii="Times New Roman" w:hAnsi="Times New Roman"/>
          <w:i/>
          <w:sz w:val="24"/>
          <w:szCs w:val="24"/>
          <w:lang w:val="en-GB"/>
        </w:rPr>
        <w:t xml:space="preserve"> </w:t>
      </w:r>
      <w:r w:rsidRPr="000D6202">
        <w:rPr>
          <w:rFonts w:ascii="Times New Roman" w:hAnsi="Times New Roman"/>
          <w:sz w:val="24"/>
          <w:szCs w:val="24"/>
          <w:lang w:val="en-GB"/>
        </w:rPr>
        <w:t>Brookings Institution Press.</w:t>
      </w:r>
    </w:p>
    <w:p w14:paraId="1D7590B6" w14:textId="18F272CB" w:rsidR="00DB3E05" w:rsidRPr="000D6202" w:rsidRDefault="00DB3E05" w:rsidP="00DB3E05">
      <w:pPr>
        <w:tabs>
          <w:tab w:val="decimal" w:pos="426"/>
          <w:tab w:val="left" w:pos="1134"/>
        </w:tabs>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Stigler, G. (1971) </w:t>
      </w:r>
      <w:r w:rsidR="00572BAC" w:rsidRPr="000D6202">
        <w:rPr>
          <w:rFonts w:ascii="Times New Roman" w:hAnsi="Times New Roman"/>
          <w:sz w:val="24"/>
          <w:szCs w:val="24"/>
          <w:lang w:val="en-GB"/>
        </w:rPr>
        <w:t>“</w:t>
      </w:r>
      <w:r w:rsidRPr="000D6202">
        <w:rPr>
          <w:rFonts w:ascii="Times New Roman" w:hAnsi="Times New Roman"/>
          <w:sz w:val="24"/>
          <w:szCs w:val="24"/>
          <w:lang w:val="en-GB"/>
        </w:rPr>
        <w:t>The Theory of Economic Regulation</w:t>
      </w:r>
      <w:r w:rsidR="00572BAC"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Bell Journal of Economics</w:t>
      </w:r>
      <w:r w:rsidRPr="000D6202">
        <w:rPr>
          <w:rFonts w:ascii="Times New Roman" w:hAnsi="Times New Roman"/>
          <w:sz w:val="24"/>
          <w:szCs w:val="24"/>
          <w:lang w:val="en-GB"/>
        </w:rPr>
        <w:t xml:space="preserve"> 2(1): 3-21.</w:t>
      </w:r>
    </w:p>
    <w:p w14:paraId="6C6392B7" w14:textId="7F2E3676" w:rsidR="008A4EFA" w:rsidRPr="000D6202" w:rsidRDefault="008A4EFA" w:rsidP="00DB3E05">
      <w:pPr>
        <w:spacing w:after="0" w:line="240" w:lineRule="auto"/>
        <w:ind w:left="794" w:hanging="794"/>
        <w:contextualSpacing/>
        <w:jc w:val="both"/>
        <w:rPr>
          <w:rFonts w:ascii="Times New Roman" w:hAnsi="Times New Roman"/>
          <w:sz w:val="24"/>
          <w:szCs w:val="24"/>
        </w:rPr>
      </w:pPr>
      <w:r w:rsidRPr="000D6202">
        <w:rPr>
          <w:rFonts w:ascii="Times New Roman" w:hAnsi="Times New Roman"/>
          <w:sz w:val="24"/>
          <w:szCs w:val="24"/>
        </w:rPr>
        <w:t xml:space="preserve">Streeck, W. (2014). </w:t>
      </w:r>
      <w:r w:rsidRPr="000D6202">
        <w:rPr>
          <w:rFonts w:ascii="Times New Roman" w:hAnsi="Times New Roman"/>
          <w:i/>
          <w:iCs/>
          <w:sz w:val="24"/>
          <w:szCs w:val="24"/>
        </w:rPr>
        <w:t>Buying time: The delayed crisis of democratic capitalism</w:t>
      </w:r>
      <w:r w:rsidRPr="000D6202">
        <w:rPr>
          <w:rFonts w:ascii="Times New Roman" w:hAnsi="Times New Roman"/>
          <w:sz w:val="24"/>
          <w:szCs w:val="24"/>
        </w:rPr>
        <w:t>. London: Verso Books.</w:t>
      </w:r>
    </w:p>
    <w:p w14:paraId="0F1ECF86" w14:textId="70E60090"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Streeck, W. and Schäfer, A. (2013) </w:t>
      </w:r>
      <w:r w:rsidRPr="000D6202">
        <w:rPr>
          <w:rFonts w:ascii="Times New Roman" w:hAnsi="Times New Roman"/>
          <w:i/>
          <w:sz w:val="24"/>
          <w:szCs w:val="24"/>
          <w:lang w:val="en-GB"/>
        </w:rPr>
        <w:t>Politics in the Age of Austerity.</w:t>
      </w:r>
      <w:r w:rsidRPr="000D6202">
        <w:rPr>
          <w:rFonts w:ascii="Times New Roman" w:hAnsi="Times New Roman"/>
          <w:sz w:val="24"/>
          <w:szCs w:val="24"/>
          <w:lang w:val="en-GB"/>
        </w:rPr>
        <w:t xml:space="preserve"> </w:t>
      </w:r>
      <w:r w:rsidR="008A4EFA" w:rsidRPr="000D6202">
        <w:rPr>
          <w:rFonts w:ascii="Times New Roman" w:hAnsi="Times New Roman"/>
          <w:sz w:val="24"/>
          <w:szCs w:val="24"/>
          <w:lang w:val="en-GB"/>
        </w:rPr>
        <w:t xml:space="preserve">Hoboken: </w:t>
      </w:r>
      <w:r w:rsidRPr="000D6202">
        <w:rPr>
          <w:rFonts w:ascii="Times New Roman" w:hAnsi="Times New Roman"/>
          <w:sz w:val="24"/>
          <w:szCs w:val="24"/>
          <w:lang w:val="en-GB"/>
        </w:rPr>
        <w:t>John Wiley &amp; Sons,.</w:t>
      </w:r>
    </w:p>
    <w:p w14:paraId="2C0BF144" w14:textId="4E906D3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Thiemann, M., Birk, M. and Friedrich, J. (2017). </w:t>
      </w:r>
      <w:r w:rsidR="008A4EFA" w:rsidRPr="000D6202">
        <w:rPr>
          <w:rFonts w:ascii="Times New Roman" w:hAnsi="Times New Roman"/>
          <w:sz w:val="24"/>
          <w:szCs w:val="24"/>
          <w:lang w:val="en-GB"/>
        </w:rPr>
        <w:t>“</w:t>
      </w:r>
      <w:r w:rsidRPr="000D6202">
        <w:rPr>
          <w:rFonts w:ascii="Times New Roman" w:hAnsi="Times New Roman"/>
          <w:sz w:val="24"/>
          <w:szCs w:val="24"/>
          <w:lang w:val="en-GB"/>
        </w:rPr>
        <w:t>Much ado about nothing? Macro-prudential ideas and the post-crisis regulation of shadow banking</w:t>
      </w:r>
      <w:r w:rsidR="008A4EFA" w:rsidRPr="000D6202">
        <w:rPr>
          <w:rFonts w:ascii="Times New Roman" w:hAnsi="Times New Roman"/>
          <w:sz w:val="24"/>
          <w:szCs w:val="24"/>
          <w:lang w:val="en-GB"/>
        </w:rPr>
        <w:t>”</w:t>
      </w:r>
      <w:r w:rsidRPr="000D6202">
        <w:rPr>
          <w:rFonts w:ascii="Times New Roman" w:hAnsi="Times New Roman"/>
          <w:sz w:val="24"/>
          <w:szCs w:val="24"/>
          <w:lang w:val="en-GB"/>
        </w:rPr>
        <w:t>. Kölner Zeitschrift für Soziologie und Sozialpsychologie (under review).</w:t>
      </w:r>
    </w:p>
    <w:p w14:paraId="61339046" w14:textId="75980415"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Torres, F. (2013) </w:t>
      </w:r>
      <w:r w:rsidR="008A4EFA" w:rsidRPr="000D6202">
        <w:rPr>
          <w:rFonts w:ascii="Times New Roman" w:hAnsi="Times New Roman"/>
          <w:sz w:val="24"/>
          <w:szCs w:val="24"/>
          <w:lang w:val="en-GB"/>
        </w:rPr>
        <w:t>“</w:t>
      </w:r>
      <w:r w:rsidRPr="000D6202">
        <w:rPr>
          <w:rFonts w:ascii="Times New Roman" w:hAnsi="Times New Roman"/>
          <w:sz w:val="24"/>
          <w:szCs w:val="24"/>
          <w:lang w:val="en-GB"/>
        </w:rPr>
        <w:t>The EMU’s Legitimacy and the ECB as a Strategic Political Player in the Crisis Context</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Journal of European Integration</w:t>
      </w:r>
      <w:r w:rsidRPr="000D6202">
        <w:rPr>
          <w:rFonts w:ascii="Times New Roman" w:hAnsi="Times New Roman"/>
          <w:sz w:val="24"/>
          <w:szCs w:val="24"/>
          <w:lang w:val="en-GB"/>
        </w:rPr>
        <w:t xml:space="preserve"> 35: 287–300. </w:t>
      </w:r>
    </w:p>
    <w:p w14:paraId="1232ADB7" w14:textId="365D01B8"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Tortola, P. and Pansardi, P. (2018) </w:t>
      </w:r>
      <w:r w:rsidR="008A4EFA" w:rsidRPr="000D6202">
        <w:rPr>
          <w:rFonts w:ascii="Times New Roman" w:hAnsi="Times New Roman"/>
          <w:sz w:val="24"/>
          <w:szCs w:val="24"/>
          <w:lang w:val="en-GB"/>
        </w:rPr>
        <w:t>“</w:t>
      </w:r>
      <w:r w:rsidRPr="000D6202">
        <w:rPr>
          <w:rFonts w:ascii="Times New Roman" w:hAnsi="Times New Roman"/>
          <w:sz w:val="24"/>
          <w:szCs w:val="24"/>
          <w:lang w:val="en-GB"/>
        </w:rPr>
        <w:t>The charismatic leadership of the ECB presidency: A language-based analysis</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European Journal of Political Research</w:t>
      </w:r>
      <w:r w:rsidRPr="000D6202">
        <w:rPr>
          <w:rFonts w:ascii="Times New Roman" w:hAnsi="Times New Roman"/>
          <w:sz w:val="24"/>
          <w:szCs w:val="24"/>
          <w:lang w:val="en-GB"/>
        </w:rPr>
        <w:t>.</w:t>
      </w:r>
      <w:r w:rsidR="008A4EFA" w:rsidRPr="000D6202">
        <w:rPr>
          <w:rFonts w:ascii="Times New Roman" w:hAnsi="Times New Roman"/>
          <w:sz w:val="24"/>
          <w:szCs w:val="24"/>
          <w:lang w:val="en-GB"/>
        </w:rPr>
        <w:t xml:space="preserve"> Online view</w:t>
      </w:r>
    </w:p>
    <w:p w14:paraId="3D3F089E" w14:textId="25850AEF"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Turner, A. (2014) </w:t>
      </w:r>
      <w:r w:rsidRPr="000D6202">
        <w:rPr>
          <w:rFonts w:ascii="Times New Roman" w:hAnsi="Times New Roman"/>
          <w:i/>
          <w:iCs/>
          <w:sz w:val="24"/>
          <w:szCs w:val="24"/>
          <w:lang w:val="en-GB"/>
        </w:rPr>
        <w:t>Between Debt and the Devil: Money, Credit, and Fixing Global Finance</w:t>
      </w:r>
      <w:r w:rsidRPr="000D6202">
        <w:rPr>
          <w:rFonts w:ascii="Times New Roman" w:hAnsi="Times New Roman"/>
          <w:sz w:val="24"/>
          <w:szCs w:val="24"/>
          <w:lang w:val="en-GB"/>
        </w:rPr>
        <w:t>.</w:t>
      </w:r>
      <w:r w:rsidR="008A4EFA" w:rsidRPr="000D6202">
        <w:rPr>
          <w:rFonts w:ascii="Times New Roman" w:hAnsi="Times New Roman"/>
          <w:sz w:val="24"/>
          <w:szCs w:val="24"/>
          <w:lang w:val="en-GB"/>
        </w:rPr>
        <w:t xml:space="preserve"> Princeton:</w:t>
      </w:r>
      <w:r w:rsidRPr="000D6202">
        <w:rPr>
          <w:rFonts w:ascii="Times New Roman" w:hAnsi="Times New Roman"/>
          <w:sz w:val="24"/>
          <w:szCs w:val="24"/>
          <w:lang w:val="en-GB"/>
        </w:rPr>
        <w:t xml:space="preserve"> Princeton University Press. </w:t>
      </w:r>
    </w:p>
    <w:p w14:paraId="7DC50000" w14:textId="6B1EB364" w:rsidR="008A4EFA" w:rsidRPr="000D6202" w:rsidRDefault="008A4EFA"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rPr>
        <w:t xml:space="preserve">Vauchez, A. (2016). </w:t>
      </w:r>
      <w:r w:rsidRPr="000D6202">
        <w:rPr>
          <w:rFonts w:ascii="Times New Roman" w:hAnsi="Times New Roman"/>
          <w:i/>
          <w:iCs/>
          <w:sz w:val="24"/>
          <w:szCs w:val="24"/>
        </w:rPr>
        <w:t>Democratizing Europe</w:t>
      </w:r>
      <w:r w:rsidRPr="000D6202">
        <w:rPr>
          <w:rFonts w:ascii="Times New Roman" w:hAnsi="Times New Roman"/>
          <w:sz w:val="24"/>
          <w:szCs w:val="24"/>
        </w:rPr>
        <w:t>. London: Springer.</w:t>
      </w:r>
      <w:r w:rsidRPr="000D6202">
        <w:rPr>
          <w:rFonts w:ascii="Times New Roman" w:hAnsi="Times New Roman"/>
          <w:sz w:val="24"/>
          <w:szCs w:val="24"/>
          <w:lang w:val="en-GB"/>
        </w:rPr>
        <w:t xml:space="preserve"> </w:t>
      </w:r>
    </w:p>
    <w:p w14:paraId="795A5962" w14:textId="66C7AAE8" w:rsidR="00DB3E05" w:rsidRPr="000D6202" w:rsidRDefault="008A4EFA"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Verdun, A.</w:t>
      </w:r>
      <w:r w:rsidR="00DB3E05" w:rsidRPr="000D6202">
        <w:rPr>
          <w:rFonts w:ascii="Times New Roman" w:hAnsi="Times New Roman"/>
          <w:sz w:val="24"/>
          <w:szCs w:val="24"/>
          <w:lang w:val="en-GB"/>
        </w:rPr>
        <w:t xml:space="preserve"> </w:t>
      </w:r>
      <w:r w:rsidRPr="000D6202">
        <w:rPr>
          <w:rFonts w:ascii="Times New Roman" w:hAnsi="Times New Roman"/>
          <w:sz w:val="24"/>
          <w:szCs w:val="24"/>
          <w:lang w:val="en-GB"/>
        </w:rPr>
        <w:t>(</w:t>
      </w:r>
      <w:r w:rsidR="00DB3E05" w:rsidRPr="000D6202">
        <w:rPr>
          <w:rFonts w:ascii="Times New Roman" w:hAnsi="Times New Roman"/>
          <w:sz w:val="24"/>
          <w:szCs w:val="24"/>
          <w:lang w:val="en-GB"/>
        </w:rPr>
        <w:t>1999</w:t>
      </w:r>
      <w:r w:rsidRPr="000D6202">
        <w:rPr>
          <w:rFonts w:ascii="Times New Roman" w:hAnsi="Times New Roman"/>
          <w:sz w:val="24"/>
          <w:szCs w:val="24"/>
          <w:lang w:val="en-GB"/>
        </w:rPr>
        <w:t>)</w:t>
      </w:r>
      <w:r w:rsidR="00DB3E05" w:rsidRPr="000D6202">
        <w:rPr>
          <w:rFonts w:ascii="Times New Roman" w:hAnsi="Times New Roman"/>
          <w:sz w:val="24"/>
          <w:szCs w:val="24"/>
          <w:lang w:val="en-GB"/>
        </w:rPr>
        <w:t xml:space="preserve">. </w:t>
      </w:r>
      <w:r w:rsidRPr="000D6202">
        <w:rPr>
          <w:rFonts w:ascii="Times New Roman" w:hAnsi="Times New Roman"/>
          <w:sz w:val="24"/>
          <w:szCs w:val="24"/>
          <w:lang w:val="en-GB"/>
        </w:rPr>
        <w:t>“</w:t>
      </w:r>
      <w:r w:rsidR="00DB3E05" w:rsidRPr="000D6202">
        <w:rPr>
          <w:rFonts w:ascii="Times New Roman" w:hAnsi="Times New Roman"/>
          <w:sz w:val="24"/>
          <w:szCs w:val="24"/>
          <w:lang w:val="en-GB"/>
        </w:rPr>
        <w:t>The role of the Delors Committee in the creation of EMU: an epistemic community?</w:t>
      </w:r>
      <w:r w:rsidRPr="000D6202">
        <w:rPr>
          <w:rFonts w:ascii="Times New Roman" w:hAnsi="Times New Roman"/>
          <w:sz w:val="24"/>
          <w:szCs w:val="24"/>
          <w:lang w:val="en-GB"/>
        </w:rPr>
        <w:t>”</w:t>
      </w:r>
      <w:r w:rsidR="00DB3E05" w:rsidRPr="000D6202">
        <w:rPr>
          <w:rFonts w:ascii="Times New Roman" w:hAnsi="Times New Roman"/>
          <w:sz w:val="24"/>
          <w:szCs w:val="24"/>
          <w:lang w:val="en-GB"/>
        </w:rPr>
        <w:t xml:space="preserve"> </w:t>
      </w:r>
      <w:r w:rsidR="00DB3E05" w:rsidRPr="000D6202">
        <w:rPr>
          <w:rFonts w:ascii="Times New Roman" w:hAnsi="Times New Roman"/>
          <w:i/>
          <w:sz w:val="24"/>
          <w:szCs w:val="24"/>
          <w:lang w:val="en-GB"/>
        </w:rPr>
        <w:t>Journal of European Public Policy</w:t>
      </w:r>
      <w:r w:rsidR="00DB3E05" w:rsidRPr="000D6202">
        <w:rPr>
          <w:rFonts w:ascii="Times New Roman" w:hAnsi="Times New Roman"/>
          <w:sz w:val="24"/>
          <w:szCs w:val="24"/>
          <w:lang w:val="en-GB"/>
        </w:rPr>
        <w:t>, 6(2), 308-328.</w:t>
      </w:r>
    </w:p>
    <w:p w14:paraId="1A23FAC4" w14:textId="764F1A06"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White, W. R. (2012) </w:t>
      </w:r>
      <w:r w:rsidR="008A4EFA" w:rsidRPr="000D6202">
        <w:rPr>
          <w:rFonts w:ascii="Times New Roman" w:hAnsi="Times New Roman"/>
          <w:sz w:val="24"/>
          <w:szCs w:val="24"/>
          <w:lang w:val="en-GB"/>
        </w:rPr>
        <w:t>“</w:t>
      </w:r>
      <w:r w:rsidRPr="000D6202">
        <w:rPr>
          <w:rFonts w:ascii="Times New Roman" w:hAnsi="Times New Roman"/>
          <w:sz w:val="24"/>
          <w:szCs w:val="24"/>
          <w:lang w:val="en-GB"/>
        </w:rPr>
        <w:t>Ultra Easy Monetary Policy and the Law of Unintended Consequences</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Federal Reserve Bank of Dallas</w:t>
      </w:r>
      <w:r w:rsidRPr="000D6202">
        <w:rPr>
          <w:rFonts w:ascii="Times New Roman" w:hAnsi="Times New Roman"/>
          <w:sz w:val="24"/>
          <w:szCs w:val="24"/>
          <w:lang w:val="en-GB"/>
        </w:rPr>
        <w:t>.</w:t>
      </w:r>
    </w:p>
    <w:p w14:paraId="7157F5E9" w14:textId="705B0664"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Woll, C. (2014) </w:t>
      </w:r>
      <w:r w:rsidRPr="000D6202">
        <w:rPr>
          <w:rFonts w:ascii="Times New Roman" w:hAnsi="Times New Roman"/>
          <w:i/>
          <w:sz w:val="24"/>
          <w:szCs w:val="24"/>
          <w:lang w:val="en-GB"/>
        </w:rPr>
        <w:t>The power of inaction: Bank bailouts in comparison</w:t>
      </w:r>
      <w:r w:rsidRPr="000D6202">
        <w:rPr>
          <w:rFonts w:ascii="Times New Roman" w:hAnsi="Times New Roman"/>
          <w:sz w:val="24"/>
          <w:szCs w:val="24"/>
          <w:lang w:val="en-GB"/>
        </w:rPr>
        <w:t xml:space="preserve">. </w:t>
      </w:r>
      <w:r w:rsidR="008A4EFA" w:rsidRPr="000D6202">
        <w:rPr>
          <w:rFonts w:ascii="Times New Roman" w:hAnsi="Times New Roman"/>
          <w:sz w:val="24"/>
          <w:szCs w:val="24"/>
          <w:lang w:val="en-GB"/>
        </w:rPr>
        <w:t xml:space="preserve">Ithaca: </w:t>
      </w:r>
      <w:r w:rsidRPr="000D6202">
        <w:rPr>
          <w:rFonts w:ascii="Times New Roman" w:hAnsi="Times New Roman"/>
          <w:sz w:val="24"/>
          <w:szCs w:val="24"/>
          <w:lang w:val="en-GB"/>
        </w:rPr>
        <w:t>Cornell University Press.</w:t>
      </w:r>
    </w:p>
    <w:p w14:paraId="5681DB23" w14:textId="2E60B6A2" w:rsidR="00DB3E05" w:rsidRPr="000D6202" w:rsidRDefault="00DB3E05" w:rsidP="00DB3E05">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 xml:space="preserve">Wray, R. L. (2014) </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Central Bank </w:t>
      </w:r>
      <w:r w:rsidR="008A4EFA" w:rsidRPr="000D6202">
        <w:rPr>
          <w:rFonts w:ascii="Times New Roman" w:hAnsi="Times New Roman"/>
          <w:sz w:val="24"/>
          <w:szCs w:val="24"/>
          <w:lang w:val="en-GB"/>
        </w:rPr>
        <w:t>Independence:</w:t>
      </w:r>
      <w:r w:rsidRPr="000D6202">
        <w:rPr>
          <w:rFonts w:ascii="Times New Roman" w:hAnsi="Times New Roman"/>
          <w:sz w:val="24"/>
          <w:szCs w:val="24"/>
          <w:lang w:val="en-GB"/>
        </w:rPr>
        <w:t xml:space="preserve"> Myth and misunderstanding</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 xml:space="preserve">Working Paper of the Levy Economics Institute </w:t>
      </w:r>
      <w:r w:rsidRPr="000D6202">
        <w:rPr>
          <w:rFonts w:ascii="Times New Roman" w:hAnsi="Times New Roman"/>
          <w:sz w:val="24"/>
          <w:szCs w:val="24"/>
          <w:lang w:val="en-GB"/>
        </w:rPr>
        <w:t xml:space="preserve">No. 791.’ </w:t>
      </w:r>
    </w:p>
    <w:p w14:paraId="7C81B6AF" w14:textId="4C715F95" w:rsidR="00C72D8E" w:rsidRPr="000D6202" w:rsidRDefault="00DB3E05" w:rsidP="008A4EFA">
      <w:pPr>
        <w:spacing w:after="0" w:line="240" w:lineRule="auto"/>
        <w:ind w:left="794" w:hanging="794"/>
        <w:contextualSpacing/>
        <w:jc w:val="both"/>
        <w:rPr>
          <w:rFonts w:ascii="Times New Roman" w:hAnsi="Times New Roman"/>
          <w:sz w:val="24"/>
          <w:szCs w:val="24"/>
          <w:lang w:val="en-GB"/>
        </w:rPr>
      </w:pPr>
      <w:r w:rsidRPr="000D6202">
        <w:rPr>
          <w:rFonts w:ascii="Times New Roman" w:hAnsi="Times New Roman"/>
          <w:sz w:val="24"/>
          <w:szCs w:val="24"/>
          <w:lang w:val="en-GB"/>
        </w:rPr>
        <w:t>Yiangou,</w:t>
      </w:r>
      <w:r w:rsidR="008A4EFA" w:rsidRPr="000D6202">
        <w:rPr>
          <w:rFonts w:ascii="Times New Roman" w:hAnsi="Times New Roman"/>
          <w:sz w:val="24"/>
          <w:szCs w:val="24"/>
          <w:lang w:val="en-GB"/>
        </w:rPr>
        <w:t xml:space="preserve"> J., O’keeffe, M., Glöckler, G.</w:t>
      </w:r>
      <w:r w:rsidRPr="000D6202">
        <w:rPr>
          <w:rFonts w:ascii="Times New Roman" w:hAnsi="Times New Roman"/>
          <w:sz w:val="24"/>
          <w:szCs w:val="24"/>
          <w:lang w:val="en-GB"/>
        </w:rPr>
        <w:t xml:space="preserve"> </w:t>
      </w:r>
      <w:r w:rsidR="008A4EFA" w:rsidRPr="000D6202">
        <w:rPr>
          <w:rFonts w:ascii="Times New Roman" w:hAnsi="Times New Roman"/>
          <w:sz w:val="24"/>
          <w:szCs w:val="24"/>
          <w:lang w:val="en-GB"/>
        </w:rPr>
        <w:t>(</w:t>
      </w:r>
      <w:r w:rsidRPr="000D6202">
        <w:rPr>
          <w:rFonts w:ascii="Times New Roman" w:hAnsi="Times New Roman"/>
          <w:sz w:val="24"/>
          <w:szCs w:val="24"/>
          <w:lang w:val="en-GB"/>
        </w:rPr>
        <w:t>2013</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008A4EFA" w:rsidRPr="000D6202">
        <w:rPr>
          <w:rFonts w:ascii="Times New Roman" w:hAnsi="Times New Roman"/>
          <w:sz w:val="24"/>
          <w:szCs w:val="24"/>
          <w:lang w:val="en-GB"/>
        </w:rPr>
        <w:t>“</w:t>
      </w:r>
      <w:r w:rsidRPr="000D6202">
        <w:rPr>
          <w:rFonts w:ascii="Times New Roman" w:hAnsi="Times New Roman"/>
          <w:i/>
          <w:sz w:val="24"/>
          <w:szCs w:val="24"/>
          <w:lang w:val="en-GB"/>
        </w:rPr>
        <w:t>‘</w:t>
      </w:r>
      <w:r w:rsidRPr="000D6202">
        <w:rPr>
          <w:rFonts w:ascii="Times New Roman" w:hAnsi="Times New Roman"/>
          <w:sz w:val="24"/>
          <w:szCs w:val="24"/>
          <w:lang w:val="en-GB"/>
        </w:rPr>
        <w:t>Tough love’: how the ECB’s monetary financing prohibition pushes deeper euro area integration</w:t>
      </w:r>
      <w:r w:rsidR="008A4EFA" w:rsidRPr="000D6202">
        <w:rPr>
          <w:rFonts w:ascii="Times New Roman" w:hAnsi="Times New Roman"/>
          <w:sz w:val="24"/>
          <w:szCs w:val="24"/>
          <w:lang w:val="en-GB"/>
        </w:rPr>
        <w:t>”</w:t>
      </w:r>
      <w:r w:rsidRPr="000D6202">
        <w:rPr>
          <w:rFonts w:ascii="Times New Roman" w:hAnsi="Times New Roman"/>
          <w:sz w:val="24"/>
          <w:szCs w:val="24"/>
          <w:lang w:val="en-GB"/>
        </w:rPr>
        <w:t xml:space="preserve">. </w:t>
      </w:r>
      <w:r w:rsidRPr="000D6202">
        <w:rPr>
          <w:rFonts w:ascii="Times New Roman" w:hAnsi="Times New Roman"/>
          <w:i/>
          <w:sz w:val="24"/>
          <w:szCs w:val="24"/>
          <w:lang w:val="en-GB"/>
        </w:rPr>
        <w:t>Journal of European</w:t>
      </w:r>
      <w:r w:rsidRPr="000D6202">
        <w:rPr>
          <w:rFonts w:ascii="Times New Roman" w:hAnsi="Times New Roman"/>
          <w:sz w:val="24"/>
          <w:szCs w:val="24"/>
          <w:lang w:val="en-GB"/>
        </w:rPr>
        <w:t xml:space="preserve"> integration 35, 223–237.</w:t>
      </w:r>
    </w:p>
    <w:sectPr w:rsidR="00C72D8E" w:rsidRPr="000D6202" w:rsidSect="008D6A0F">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896BB" w16cid:durableId="1EAF1EF8"/>
  <w16cid:commentId w16cid:paraId="50DAFD04" w16cid:durableId="1EAF1AC6"/>
  <w16cid:commentId w16cid:paraId="296B68A3" w16cid:durableId="1EAF1B20"/>
  <w16cid:commentId w16cid:paraId="16D7847E" w16cid:durableId="1EAF0CD4"/>
  <w16cid:commentId w16cid:paraId="37D646D3" w16cid:durableId="1EAF1315"/>
  <w16cid:commentId w16cid:paraId="77C2F8B6" w16cid:durableId="1EAF1B70"/>
  <w16cid:commentId w16cid:paraId="7FE11669" w16cid:durableId="1EAF1B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690B" w14:textId="77777777" w:rsidR="00990575" w:rsidRDefault="00990575" w:rsidP="00080148">
      <w:pPr>
        <w:spacing w:after="0" w:line="240" w:lineRule="auto"/>
      </w:pPr>
      <w:r>
        <w:separator/>
      </w:r>
    </w:p>
  </w:endnote>
  <w:endnote w:type="continuationSeparator" w:id="0">
    <w:p w14:paraId="0418EA8B" w14:textId="77777777" w:rsidR="00990575" w:rsidRDefault="00990575" w:rsidP="0008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gLiU_HKSCS">
    <w:charset w:val="88"/>
    <w:family w:val="roman"/>
    <w:pitch w:val="variable"/>
    <w:sig w:usb0="A00002FF" w:usb1="3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1B16" w14:textId="7F38D181" w:rsidR="001870CD" w:rsidRDefault="001870CD">
    <w:pPr>
      <w:pStyle w:val="Footer"/>
      <w:jc w:val="center"/>
    </w:pPr>
    <w:r>
      <w:fldChar w:fldCharType="begin"/>
    </w:r>
    <w:r>
      <w:instrText xml:space="preserve"> PAGE   \* MERGEFORMAT </w:instrText>
    </w:r>
    <w:r>
      <w:fldChar w:fldCharType="separate"/>
    </w:r>
    <w:r w:rsidR="00E423FB">
      <w:rPr>
        <w:noProof/>
      </w:rPr>
      <w:t>2</w:t>
    </w:r>
    <w:r>
      <w:fldChar w:fldCharType="end"/>
    </w:r>
  </w:p>
  <w:p w14:paraId="4C13053D" w14:textId="77777777" w:rsidR="001870CD" w:rsidRDefault="0018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2B06B" w14:textId="77777777" w:rsidR="00990575" w:rsidRDefault="00990575" w:rsidP="00080148">
      <w:pPr>
        <w:spacing w:after="0" w:line="240" w:lineRule="auto"/>
      </w:pPr>
      <w:r>
        <w:separator/>
      </w:r>
    </w:p>
  </w:footnote>
  <w:footnote w:type="continuationSeparator" w:id="0">
    <w:p w14:paraId="13891A2E" w14:textId="77777777" w:rsidR="00990575" w:rsidRDefault="00990575" w:rsidP="00080148">
      <w:pPr>
        <w:spacing w:after="0" w:line="240" w:lineRule="auto"/>
      </w:pPr>
      <w:r>
        <w:continuationSeparator/>
      </w:r>
    </w:p>
  </w:footnote>
  <w:footnote w:id="1">
    <w:p w14:paraId="22BA2793" w14:textId="2C5425F0" w:rsidR="000D6202" w:rsidRPr="000D6202" w:rsidRDefault="000D6202">
      <w:pPr>
        <w:pStyle w:val="FootnoteText"/>
        <w:rPr>
          <w:lang w:val="sv-SE"/>
        </w:rPr>
      </w:pPr>
      <w:r>
        <w:rPr>
          <w:rStyle w:val="FootnoteReference"/>
        </w:rPr>
        <w:footnoteRef/>
      </w:r>
      <w:r>
        <w:t xml:space="preserve"> </w:t>
      </w:r>
      <w:r>
        <w:rPr>
          <w:lang w:val="sv-SE"/>
        </w:rPr>
        <w:t>The authors would like to thank for Isabelle Guinaudeau and Richard Endörfer whose helpful comment have significantly imporve this review article. We benefited from the financial support of the Wallenberg Foundation and the Maison des Sciences de l’Homme Bretagne (</w:t>
      </w:r>
      <w:r w:rsidRPr="000D6202">
        <w:rPr>
          <w:lang w:val="sv-SE"/>
        </w:rPr>
        <w:t>GOBACEAC</w:t>
      </w:r>
      <w:r>
        <w:rPr>
          <w:lang w:val="sv-SE"/>
        </w:rPr>
        <w:t xml:space="preserve"> project). The usual disclaimer apply.</w:t>
      </w:r>
    </w:p>
  </w:footnote>
  <w:footnote w:id="2">
    <w:p w14:paraId="2EF4EC0A" w14:textId="77777777" w:rsidR="001870CD" w:rsidRPr="005E3C60" w:rsidRDefault="001870CD" w:rsidP="009B3C64">
      <w:pPr>
        <w:pStyle w:val="FootnoteText"/>
        <w:rPr>
          <w:lang w:val="en-US"/>
        </w:rPr>
      </w:pPr>
      <w:r>
        <w:rPr>
          <w:rStyle w:val="FootnoteReference"/>
        </w:rPr>
        <w:footnoteRef/>
      </w:r>
      <w:r>
        <w:rPr>
          <w:lang w:val="en-US"/>
        </w:rPr>
        <w:t xml:space="preserve"> To respect the number of words allotted</w:t>
      </w:r>
      <w:r w:rsidRPr="005E3C60">
        <w:rPr>
          <w:lang w:val="en-US"/>
        </w:rPr>
        <w:t xml:space="preserve">, we do not cover </w:t>
      </w:r>
      <w:r>
        <w:rPr>
          <w:lang w:val="en-US"/>
        </w:rPr>
        <w:t xml:space="preserve">historical, </w:t>
      </w:r>
      <w:r w:rsidRPr="005E3C60">
        <w:rPr>
          <w:lang w:val="en-US"/>
        </w:rPr>
        <w:t>legal</w:t>
      </w:r>
      <w:r>
        <w:rPr>
          <w:lang w:val="en-US"/>
        </w:rPr>
        <w:t>,</w:t>
      </w:r>
      <w:r w:rsidRPr="005E3C60">
        <w:rPr>
          <w:lang w:val="en-US"/>
        </w:rPr>
        <w:t xml:space="preserve"> and ethnographical</w:t>
      </w:r>
      <w:r>
        <w:rPr>
          <w:lang w:val="en-US"/>
        </w:rPr>
        <w:t xml:space="preserve"> research on central banking, and we focus only on the European Central Bank, The Federal Reserve, and the Bank of England. </w:t>
      </w:r>
    </w:p>
  </w:footnote>
  <w:footnote w:id="3">
    <w:p w14:paraId="05100C1C" w14:textId="17FADD3F" w:rsidR="001870CD" w:rsidRPr="00FE0CC3" w:rsidRDefault="001870CD" w:rsidP="009B3C64">
      <w:pPr>
        <w:pStyle w:val="FootnoteText"/>
        <w:rPr>
          <w:lang w:val="en-CA"/>
        </w:rPr>
      </w:pPr>
      <w:r>
        <w:rPr>
          <w:rStyle w:val="FootnoteReference"/>
        </w:rPr>
        <w:footnoteRef/>
      </w:r>
      <w:r w:rsidRPr="00FE0CC3">
        <w:rPr>
          <w:lang w:val="en-CA"/>
        </w:rPr>
        <w:t xml:space="preserve"> </w:t>
      </w:r>
      <w:r>
        <w:rPr>
          <w:lang w:val="en-CA"/>
        </w:rPr>
        <w:t xml:space="preserve">Quantitative Easing consists of the purchase of financial assets through an </w:t>
      </w:r>
      <w:r w:rsidRPr="00FE0CC3">
        <w:rPr>
          <w:i/>
          <w:lang w:val="en-CA"/>
        </w:rPr>
        <w:t>expansion</w:t>
      </w:r>
      <w:r>
        <w:rPr>
          <w:lang w:val="en-CA"/>
        </w:rPr>
        <w:t xml:space="preserve"> of the size of the balance-sheet, while Qualitative Easing is only about changing the </w:t>
      </w:r>
      <w:r w:rsidRPr="00FE0CC3">
        <w:rPr>
          <w:i/>
          <w:lang w:val="en-CA"/>
        </w:rPr>
        <w:t>composition</w:t>
      </w:r>
      <w:r>
        <w:rPr>
          <w:lang w:val="en-CA"/>
        </w:rPr>
        <w:t xml:space="preserve"> of the balance-sheet. Also, note the difference between the use of conventional monetary </w:t>
      </w:r>
      <w:r w:rsidRPr="00FE0CC3">
        <w:rPr>
          <w:lang w:val="en-CA"/>
        </w:rPr>
        <w:t>instruments in an unconventional way (LTRO) and the implantation of unconventional instruments (quantitat</w:t>
      </w:r>
      <w:r>
        <w:rPr>
          <w:lang w:val="en-CA"/>
        </w:rPr>
        <w:t>iv</w:t>
      </w:r>
      <w:r w:rsidRPr="00FE0CC3">
        <w:rPr>
          <w:lang w:val="en-CA"/>
        </w:rPr>
        <w:t>e and qualitative easing) (</w:t>
      </w:r>
      <w:r w:rsidRPr="00FE0CC3">
        <w:rPr>
          <w:rFonts w:cs="Calibri"/>
          <w:lang w:val="en-US"/>
        </w:rPr>
        <w:t>Pfister and Valla, 2015</w:t>
      </w:r>
      <w:r w:rsidRPr="00FE0CC3">
        <w:rPr>
          <w:lang w:val="en-CA"/>
        </w:rPr>
        <w:t>)</w:t>
      </w:r>
      <w:r>
        <w:rPr>
          <w:lang w:val="en-CA"/>
        </w:rPr>
        <w:t>.</w:t>
      </w:r>
    </w:p>
  </w:footnote>
  <w:footnote w:id="4">
    <w:p w14:paraId="53AD44CB" w14:textId="77777777" w:rsidR="001870CD" w:rsidRPr="004A4697" w:rsidRDefault="001870CD" w:rsidP="009B3C64">
      <w:pPr>
        <w:pStyle w:val="FootnoteText"/>
        <w:rPr>
          <w:lang w:val="en-CA"/>
        </w:rPr>
      </w:pPr>
      <w:r>
        <w:rPr>
          <w:rStyle w:val="FootnoteReference"/>
        </w:rPr>
        <w:footnoteRef/>
      </w:r>
      <w:r w:rsidRPr="004A4697">
        <w:rPr>
          <w:lang w:val="en-CA"/>
        </w:rPr>
        <w:t xml:space="preserve"> </w:t>
      </w:r>
      <w:r>
        <w:rPr>
          <w:lang w:val="en-CA"/>
        </w:rPr>
        <w:t>This third form of legitimacy usually refers to accountability and deliberative procedures.</w:t>
      </w:r>
    </w:p>
  </w:footnote>
  <w:footnote w:id="5">
    <w:p w14:paraId="3935098C" w14:textId="77777777" w:rsidR="001870CD" w:rsidRPr="00D94447" w:rsidRDefault="001870CD" w:rsidP="009B3C64">
      <w:pPr>
        <w:pStyle w:val="FootnoteText"/>
        <w:rPr>
          <w:lang w:val="en-CA"/>
        </w:rPr>
      </w:pPr>
      <w:r>
        <w:rPr>
          <w:rStyle w:val="FootnoteReference"/>
        </w:rPr>
        <w:footnoteRef/>
      </w:r>
      <w:r w:rsidRPr="00D94447">
        <w:rPr>
          <w:lang w:val="en-CA"/>
        </w:rPr>
        <w:t xml:space="preserve"> </w:t>
      </w:r>
      <w:r>
        <w:rPr>
          <w:lang w:val="en-CA"/>
        </w:rPr>
        <w:t xml:space="preserve">In particular, they propose a dubious correlation between the ECB interest rates and the volume of mass demonstrations to back up their claim (p. 957).  </w:t>
      </w:r>
    </w:p>
  </w:footnote>
  <w:footnote w:id="6">
    <w:p w14:paraId="42BC059E" w14:textId="0E9CE684" w:rsidR="001870CD" w:rsidRPr="004A7703" w:rsidRDefault="001870CD" w:rsidP="009B3C64">
      <w:pPr>
        <w:pStyle w:val="FootnoteText"/>
        <w:rPr>
          <w:lang w:val="en-CA"/>
        </w:rPr>
      </w:pPr>
      <w:r>
        <w:rPr>
          <w:rStyle w:val="FootnoteReference"/>
        </w:rPr>
        <w:footnoteRef/>
      </w:r>
      <w:r w:rsidRPr="004A7703">
        <w:rPr>
          <w:lang w:val="en-CA"/>
        </w:rPr>
        <w:t xml:space="preserve"> </w:t>
      </w:r>
      <w:r>
        <w:rPr>
          <w:lang w:val="en-US"/>
        </w:rPr>
        <w:t>Post-Keynesians are “heterodox” economists, as they claim the legacy of both Marx and Keynes, while New-Keynesians represent the new “economic orthodoxy”, since they provide a synthesis between the new classical Macroeconomics and Keynesian principles.</w:t>
      </w:r>
    </w:p>
  </w:footnote>
  <w:footnote w:id="7">
    <w:p w14:paraId="42305C5C" w14:textId="77777777" w:rsidR="001870CD" w:rsidRPr="007306CF" w:rsidRDefault="001870CD" w:rsidP="009B3C64">
      <w:pPr>
        <w:pStyle w:val="FootnoteText"/>
        <w:rPr>
          <w:lang w:val="en-CA"/>
        </w:rPr>
      </w:pPr>
      <w:r>
        <w:rPr>
          <w:rStyle w:val="FootnoteReference"/>
        </w:rPr>
        <w:footnoteRef/>
      </w:r>
      <w:r w:rsidRPr="007306CF">
        <w:rPr>
          <w:lang w:val="en-CA"/>
        </w:rPr>
        <w:t xml:space="preserve"> </w:t>
      </w:r>
      <w:r>
        <w:rPr>
          <w:lang w:val="en-CA"/>
        </w:rPr>
        <w:t>In earlier stages of European economic integration, supranational players, such as the Commission, have justified the creation of the euro with</w:t>
      </w:r>
      <w:r w:rsidRPr="00131156">
        <w:rPr>
          <w:lang w:val="en-CA"/>
        </w:rPr>
        <w:t xml:space="preserve"> </w:t>
      </w:r>
      <w:r>
        <w:rPr>
          <w:lang w:val="en-CA"/>
        </w:rPr>
        <w:t>such models of incompatibility (McNamara, 1998).</w:t>
      </w:r>
    </w:p>
  </w:footnote>
  <w:footnote w:id="8">
    <w:p w14:paraId="545406B8" w14:textId="77777777" w:rsidR="001870CD" w:rsidRPr="003D18B7" w:rsidRDefault="001870CD" w:rsidP="009B3C64">
      <w:pPr>
        <w:pStyle w:val="FootnoteText"/>
        <w:rPr>
          <w:lang w:val="en-CA"/>
        </w:rPr>
      </w:pPr>
      <w:r>
        <w:rPr>
          <w:rStyle w:val="FootnoteReference"/>
        </w:rPr>
        <w:footnoteRef/>
      </w:r>
      <w:r w:rsidRPr="003D18B7">
        <w:rPr>
          <w:lang w:val="en-CA"/>
        </w:rPr>
        <w:t xml:space="preserve"> </w:t>
      </w:r>
      <w:r>
        <w:rPr>
          <w:lang w:val="en-CA"/>
        </w:rPr>
        <w:t xml:space="preserve">Ordo-liberalism is a specific form of neoliberalism, which guided German economic policies since the 1950’s. </w:t>
      </w:r>
    </w:p>
  </w:footnote>
  <w:footnote w:id="9">
    <w:p w14:paraId="36929DC1" w14:textId="0E067755" w:rsidR="001870CD" w:rsidRPr="000A41A8" w:rsidRDefault="001870CD" w:rsidP="009B3C64">
      <w:pPr>
        <w:pStyle w:val="FootnoteText"/>
        <w:rPr>
          <w:lang w:val="en-CA"/>
        </w:rPr>
      </w:pPr>
      <w:r>
        <w:rPr>
          <w:rStyle w:val="FootnoteReference"/>
        </w:rPr>
        <w:footnoteRef/>
      </w:r>
      <w:r w:rsidRPr="000A41A8">
        <w:rPr>
          <w:lang w:val="en-CA"/>
        </w:rPr>
        <w:t xml:space="preserve"> </w:t>
      </w:r>
      <w:r>
        <w:rPr>
          <w:lang w:val="en-CA"/>
        </w:rPr>
        <w:t xml:space="preserve">Financialisation refers to the expansion of both the financial industry as a share of the GDP and financial logics within non-financial sectors.  </w:t>
      </w:r>
    </w:p>
  </w:footnote>
  <w:footnote w:id="10">
    <w:p w14:paraId="31BAD7F2" w14:textId="77777777" w:rsidR="001870CD" w:rsidRPr="009D2CD9" w:rsidRDefault="001870CD" w:rsidP="009B3C64">
      <w:pPr>
        <w:pStyle w:val="FootnoteText"/>
        <w:rPr>
          <w:lang w:val="en-CA"/>
        </w:rPr>
      </w:pPr>
      <w:r>
        <w:rPr>
          <w:rStyle w:val="FootnoteReference"/>
        </w:rPr>
        <w:footnoteRef/>
      </w:r>
      <w:r w:rsidRPr="009D2CD9">
        <w:rPr>
          <w:lang w:val="en-CA"/>
        </w:rPr>
        <w:t xml:space="preserve"> </w:t>
      </w:r>
      <w:r>
        <w:rPr>
          <w:lang w:val="en-CA"/>
        </w:rPr>
        <w:t xml:space="preserve">To address this problem, </w:t>
      </w:r>
      <w:r>
        <w:rPr>
          <w:rFonts w:ascii="Times New Roman" w:hAnsi="Times New Roman"/>
          <w:lang w:val="en-CA"/>
        </w:rPr>
        <w:t>public authorities must</w:t>
      </w:r>
      <w:r w:rsidRPr="00541C55">
        <w:rPr>
          <w:rFonts w:ascii="Times New Roman" w:hAnsi="Times New Roman"/>
          <w:lang w:val="en-CA"/>
        </w:rPr>
        <w:t xml:space="preserve"> bail out banks suffering from a mere liquidity crunch, while letting insolvent banks fail.</w:t>
      </w:r>
    </w:p>
  </w:footnote>
  <w:footnote w:id="11">
    <w:p w14:paraId="2958D155" w14:textId="4B96175A" w:rsidR="001870CD" w:rsidRPr="00781D0F" w:rsidRDefault="001870CD" w:rsidP="009B3C64">
      <w:pPr>
        <w:pStyle w:val="FootnoteText"/>
        <w:rPr>
          <w:lang w:val="en-CA"/>
        </w:rPr>
      </w:pPr>
      <w:r>
        <w:rPr>
          <w:rStyle w:val="FootnoteReference"/>
        </w:rPr>
        <w:footnoteRef/>
      </w:r>
      <w:r w:rsidRPr="000A41A8">
        <w:rPr>
          <w:lang w:val="en-CA"/>
        </w:rPr>
        <w:t xml:space="preserve"> </w:t>
      </w:r>
      <w:r w:rsidRPr="00781D0F">
        <w:rPr>
          <w:rFonts w:cs="Calibri"/>
          <w:lang w:val="en-CA"/>
        </w:rPr>
        <w:t>The transactions taking place on over the counter repo markets are repurchase agreements</w:t>
      </w:r>
      <w:r>
        <w:rPr>
          <w:rFonts w:cs="Calibri"/>
          <w:lang w:val="en-CA"/>
        </w:rPr>
        <w:t>,</w:t>
      </w:r>
      <w:r w:rsidRPr="00781D0F">
        <w:rPr>
          <w:rFonts w:cs="Calibri"/>
          <w:lang w:val="en-CA"/>
        </w:rPr>
        <w:t xml:space="preserve"> in which one party agrees to buy a specific security and sell it back at a later date </w:t>
      </w:r>
      <w:r>
        <w:rPr>
          <w:rFonts w:cs="Calibri"/>
          <w:lang w:val="en-CA"/>
        </w:rPr>
        <w:t xml:space="preserve">(usually some days) </w:t>
      </w:r>
      <w:r w:rsidRPr="00781D0F">
        <w:rPr>
          <w:rFonts w:cs="Calibri"/>
          <w:lang w:val="en-CA"/>
        </w:rPr>
        <w:t>and at a predetermined price</w:t>
      </w:r>
      <w:r>
        <w:rPr>
          <w:rFonts w:cs="Calibri"/>
          <w:lang w:val="en-CA"/>
        </w:rPr>
        <w:t xml:space="preserve">. Today, banks ensure their financing mainly through repo markets.  Securitisation refers to the process of bundling loans together to create a financial security, which can be exchanged on secondary markets. Subprime loans have been heavily securitised.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386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879E5"/>
    <w:multiLevelType w:val="hybridMultilevel"/>
    <w:tmpl w:val="B4A4AF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B34F6C"/>
    <w:multiLevelType w:val="hybridMultilevel"/>
    <w:tmpl w:val="8A1A9CEA"/>
    <w:lvl w:ilvl="0" w:tplc="62941B6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236003"/>
    <w:multiLevelType w:val="hybridMultilevel"/>
    <w:tmpl w:val="305A6402"/>
    <w:lvl w:ilvl="0" w:tplc="608AFFB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645FC6"/>
    <w:multiLevelType w:val="hybridMultilevel"/>
    <w:tmpl w:val="229282C2"/>
    <w:lvl w:ilvl="0" w:tplc="0EF4F8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E8317D"/>
    <w:multiLevelType w:val="hybridMultilevel"/>
    <w:tmpl w:val="C11E4D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5E0EEB"/>
    <w:multiLevelType w:val="hybridMultilevel"/>
    <w:tmpl w:val="BB8EBD3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0087D6D"/>
    <w:multiLevelType w:val="hybridMultilevel"/>
    <w:tmpl w:val="C3E6E7D6"/>
    <w:lvl w:ilvl="0" w:tplc="EE9EB9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43009C"/>
    <w:multiLevelType w:val="hybridMultilevel"/>
    <w:tmpl w:val="C7301764"/>
    <w:lvl w:ilvl="0" w:tplc="0E08BF0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2E2D8F"/>
    <w:multiLevelType w:val="hybridMultilevel"/>
    <w:tmpl w:val="4D46ED9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9E5AF3"/>
    <w:multiLevelType w:val="hybridMultilevel"/>
    <w:tmpl w:val="3FB68F5A"/>
    <w:lvl w:ilvl="0" w:tplc="74BE11C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EA6361D"/>
    <w:multiLevelType w:val="hybridMultilevel"/>
    <w:tmpl w:val="3AE84CA2"/>
    <w:lvl w:ilvl="0" w:tplc="D08ABE3A">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004AE0"/>
    <w:multiLevelType w:val="hybridMultilevel"/>
    <w:tmpl w:val="BECE7B3E"/>
    <w:lvl w:ilvl="0" w:tplc="AAD67646">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4"/>
  </w:num>
  <w:num w:numId="6">
    <w:abstractNumId w:val="8"/>
  </w:num>
  <w:num w:numId="7">
    <w:abstractNumId w:val="6"/>
  </w:num>
  <w:num w:numId="8">
    <w:abstractNumId w:val="11"/>
  </w:num>
  <w:num w:numId="9">
    <w:abstractNumId w:val="3"/>
  </w:num>
  <w:num w:numId="10">
    <w:abstractNumId w:val="1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48"/>
    <w:rsid w:val="00024138"/>
    <w:rsid w:val="00080148"/>
    <w:rsid w:val="00086458"/>
    <w:rsid w:val="000A00C3"/>
    <w:rsid w:val="000D6202"/>
    <w:rsid w:val="00101A34"/>
    <w:rsid w:val="00134602"/>
    <w:rsid w:val="0014650C"/>
    <w:rsid w:val="001477A7"/>
    <w:rsid w:val="001870CD"/>
    <w:rsid w:val="001F6667"/>
    <w:rsid w:val="00200073"/>
    <w:rsid w:val="0022015D"/>
    <w:rsid w:val="002548CA"/>
    <w:rsid w:val="003C70E3"/>
    <w:rsid w:val="004A0131"/>
    <w:rsid w:val="004E0BDC"/>
    <w:rsid w:val="004F0F34"/>
    <w:rsid w:val="00572BAC"/>
    <w:rsid w:val="005962B6"/>
    <w:rsid w:val="005A7D51"/>
    <w:rsid w:val="00841FB9"/>
    <w:rsid w:val="008A4EFA"/>
    <w:rsid w:val="008D6A0F"/>
    <w:rsid w:val="00990575"/>
    <w:rsid w:val="009B3C64"/>
    <w:rsid w:val="009E4BCD"/>
    <w:rsid w:val="00A17645"/>
    <w:rsid w:val="00B359C0"/>
    <w:rsid w:val="00B701C8"/>
    <w:rsid w:val="00C47098"/>
    <w:rsid w:val="00C72D8E"/>
    <w:rsid w:val="00C9735D"/>
    <w:rsid w:val="00D72F89"/>
    <w:rsid w:val="00DB3E05"/>
    <w:rsid w:val="00E125A6"/>
    <w:rsid w:val="00E423FB"/>
    <w:rsid w:val="00F65062"/>
    <w:rsid w:val="00F650C4"/>
    <w:rsid w:val="00FB437D"/>
    <w:rsid w:val="00FC1E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19AC"/>
  <w15:chartTrackingRefBased/>
  <w15:docId w15:val="{136C9414-6A1D-4584-AF10-00FED71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48"/>
    <w:pPr>
      <w:spacing w:after="200" w:line="276" w:lineRule="auto"/>
    </w:pPr>
    <w:rPr>
      <w:rFonts w:ascii="Calibri" w:eastAsia="Calibri" w:hAnsi="Calibri" w:cs="Times New Roman"/>
      <w:lang w:val="fr-FR"/>
    </w:rPr>
  </w:style>
  <w:style w:type="paragraph" w:styleId="Heading1">
    <w:name w:val="heading 1"/>
    <w:basedOn w:val="Normal"/>
    <w:next w:val="Normal"/>
    <w:link w:val="Heading1Char"/>
    <w:uiPriority w:val="9"/>
    <w:qFormat/>
    <w:rsid w:val="00080148"/>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qFormat/>
    <w:rsid w:val="00080148"/>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9B3C64"/>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148"/>
    <w:rPr>
      <w:rFonts w:ascii="Cambria" w:eastAsia="Times New Roman" w:hAnsi="Cambria" w:cs="Times New Roman"/>
      <w:color w:val="365F91"/>
      <w:sz w:val="32"/>
      <w:szCs w:val="32"/>
      <w:lang w:val="fr-FR"/>
    </w:rPr>
  </w:style>
  <w:style w:type="character" w:customStyle="1" w:styleId="Heading2Char">
    <w:name w:val="Heading 2 Char"/>
    <w:basedOn w:val="DefaultParagraphFont"/>
    <w:link w:val="Heading2"/>
    <w:uiPriority w:val="9"/>
    <w:rsid w:val="00080148"/>
    <w:rPr>
      <w:rFonts w:ascii="Cambria" w:eastAsia="Times New Roman" w:hAnsi="Cambria" w:cs="Times New Roman"/>
      <w:color w:val="365F91"/>
      <w:sz w:val="26"/>
      <w:szCs w:val="26"/>
      <w:lang w:val="fr-FR"/>
    </w:rPr>
  </w:style>
  <w:style w:type="paragraph" w:styleId="FootnoteText">
    <w:name w:val="footnote text"/>
    <w:basedOn w:val="Normal"/>
    <w:link w:val="FootnoteTextChar"/>
    <w:uiPriority w:val="99"/>
    <w:unhideWhenUsed/>
    <w:rsid w:val="00080148"/>
    <w:pPr>
      <w:spacing w:after="0" w:line="240" w:lineRule="auto"/>
    </w:pPr>
    <w:rPr>
      <w:sz w:val="20"/>
      <w:szCs w:val="20"/>
      <w:lang w:val="fr-CA"/>
    </w:rPr>
  </w:style>
  <w:style w:type="character" w:customStyle="1" w:styleId="FootnoteTextChar">
    <w:name w:val="Footnote Text Char"/>
    <w:basedOn w:val="DefaultParagraphFont"/>
    <w:link w:val="FootnoteText"/>
    <w:uiPriority w:val="99"/>
    <w:rsid w:val="00080148"/>
    <w:rPr>
      <w:rFonts w:ascii="Calibri" w:eastAsia="Calibri" w:hAnsi="Calibri" w:cs="Times New Roman"/>
      <w:sz w:val="20"/>
      <w:szCs w:val="20"/>
      <w:lang w:val="fr-CA"/>
    </w:rPr>
  </w:style>
  <w:style w:type="character" w:styleId="FootnoteReference">
    <w:name w:val="footnote reference"/>
    <w:uiPriority w:val="99"/>
    <w:unhideWhenUsed/>
    <w:rsid w:val="00080148"/>
    <w:rPr>
      <w:vertAlign w:val="superscript"/>
    </w:rPr>
  </w:style>
  <w:style w:type="character" w:customStyle="1" w:styleId="nlmstring-name">
    <w:name w:val="nlm_string-name"/>
    <w:rsid w:val="00080148"/>
  </w:style>
  <w:style w:type="character" w:customStyle="1" w:styleId="Heading3Char">
    <w:name w:val="Heading 3 Char"/>
    <w:basedOn w:val="DefaultParagraphFont"/>
    <w:link w:val="Heading3"/>
    <w:uiPriority w:val="9"/>
    <w:rsid w:val="009B3C64"/>
    <w:rPr>
      <w:rFonts w:ascii="Cambria" w:eastAsia="Times New Roman" w:hAnsi="Cambria" w:cs="Times New Roman"/>
      <w:color w:val="243F60"/>
      <w:sz w:val="24"/>
      <w:szCs w:val="24"/>
      <w:lang w:val="fr-FR"/>
    </w:rPr>
  </w:style>
  <w:style w:type="paragraph" w:styleId="EndnoteText">
    <w:name w:val="endnote text"/>
    <w:basedOn w:val="Normal"/>
    <w:link w:val="EndnoteTextChar"/>
    <w:uiPriority w:val="99"/>
    <w:unhideWhenUsed/>
    <w:rsid w:val="009B3C64"/>
    <w:pPr>
      <w:keepNext/>
      <w:spacing w:after="0" w:line="240" w:lineRule="auto"/>
    </w:pPr>
    <w:rPr>
      <w:rFonts w:ascii="Times New Roman" w:eastAsia="Arial Unicode MS" w:hAnsi="Times New Roman"/>
      <w:color w:val="00000A"/>
      <w:sz w:val="20"/>
      <w:szCs w:val="20"/>
      <w:u w:color="00000A"/>
      <w:lang w:val="en-US"/>
    </w:rPr>
  </w:style>
  <w:style w:type="character" w:customStyle="1" w:styleId="EndnoteTextChar">
    <w:name w:val="Endnote Text Char"/>
    <w:basedOn w:val="DefaultParagraphFont"/>
    <w:link w:val="EndnoteText"/>
    <w:uiPriority w:val="99"/>
    <w:rsid w:val="009B3C64"/>
    <w:rPr>
      <w:rFonts w:ascii="Times New Roman" w:eastAsia="Arial Unicode MS" w:hAnsi="Times New Roman" w:cs="Times New Roman"/>
      <w:color w:val="00000A"/>
      <w:sz w:val="20"/>
      <w:szCs w:val="20"/>
      <w:u w:color="00000A"/>
      <w:lang w:val="en-US"/>
    </w:rPr>
  </w:style>
  <w:style w:type="character" w:styleId="EndnoteReference">
    <w:name w:val="endnote reference"/>
    <w:uiPriority w:val="99"/>
    <w:unhideWhenUsed/>
    <w:rsid w:val="009B3C64"/>
    <w:rPr>
      <w:vertAlign w:val="superscript"/>
    </w:rPr>
  </w:style>
  <w:style w:type="character" w:customStyle="1" w:styleId="CommentTextChar">
    <w:name w:val="Comment Text Char"/>
    <w:link w:val="CommentText"/>
    <w:uiPriority w:val="99"/>
    <w:rsid w:val="009B3C64"/>
    <w:rPr>
      <w:rFonts w:ascii="Calibri" w:eastAsia="Calibri" w:hAnsi="Calibri" w:cs="Times New Roman"/>
      <w:sz w:val="20"/>
      <w:szCs w:val="20"/>
    </w:rPr>
  </w:style>
  <w:style w:type="paragraph" w:styleId="CommentText">
    <w:name w:val="annotation text"/>
    <w:basedOn w:val="Normal"/>
    <w:link w:val="CommentTextChar"/>
    <w:uiPriority w:val="99"/>
    <w:unhideWhenUsed/>
    <w:rsid w:val="009B3C64"/>
    <w:pPr>
      <w:spacing w:line="240" w:lineRule="auto"/>
    </w:pPr>
    <w:rPr>
      <w:sz w:val="20"/>
      <w:szCs w:val="20"/>
      <w:lang w:val="sv-SE"/>
    </w:rPr>
  </w:style>
  <w:style w:type="character" w:customStyle="1" w:styleId="CommentTextChar1">
    <w:name w:val="Comment Text Char1"/>
    <w:basedOn w:val="DefaultParagraphFont"/>
    <w:uiPriority w:val="99"/>
    <w:semiHidden/>
    <w:rsid w:val="009B3C64"/>
    <w:rPr>
      <w:rFonts w:ascii="Calibri" w:eastAsia="Calibri" w:hAnsi="Calibri" w:cs="Times New Roman"/>
      <w:sz w:val="20"/>
      <w:szCs w:val="20"/>
      <w:lang w:val="fr-FR"/>
    </w:rPr>
  </w:style>
  <w:style w:type="character" w:customStyle="1" w:styleId="CommentSubjectChar">
    <w:name w:val="Comment Subject Char"/>
    <w:link w:val="CommentSubject"/>
    <w:uiPriority w:val="99"/>
    <w:semiHidden/>
    <w:rsid w:val="009B3C6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B3C64"/>
    <w:rPr>
      <w:b/>
      <w:bCs/>
    </w:rPr>
  </w:style>
  <w:style w:type="character" w:customStyle="1" w:styleId="CommentSubjectChar1">
    <w:name w:val="Comment Subject Char1"/>
    <w:basedOn w:val="CommentTextChar1"/>
    <w:uiPriority w:val="99"/>
    <w:semiHidden/>
    <w:rsid w:val="009B3C64"/>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rsid w:val="009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64"/>
    <w:rPr>
      <w:rFonts w:ascii="Segoe UI" w:eastAsia="Calibri" w:hAnsi="Segoe UI" w:cs="Segoe UI"/>
      <w:sz w:val="18"/>
      <w:szCs w:val="18"/>
      <w:lang w:val="fr-FR"/>
    </w:rPr>
  </w:style>
  <w:style w:type="character" w:customStyle="1" w:styleId="ColorfulGrid-Accent1Char">
    <w:name w:val="Colorful Grid - Accent 1 Char"/>
    <w:link w:val="ColorfulGrid-Accent1"/>
    <w:rsid w:val="009B3C64"/>
    <w:rPr>
      <w:rFonts w:ascii="Calibri" w:eastAsia="Calibri" w:hAnsi="Calibri" w:cs="Times New Roman"/>
      <w:iCs/>
      <w:color w:val="404040"/>
      <w:lang w:val="fr-CA"/>
    </w:rPr>
  </w:style>
  <w:style w:type="paragraph" w:styleId="NormalWeb">
    <w:name w:val="Normal (Web)"/>
    <w:basedOn w:val="Normal"/>
    <w:uiPriority w:val="99"/>
    <w:unhideWhenUsed/>
    <w:rsid w:val="009B3C64"/>
    <w:pPr>
      <w:spacing w:before="100" w:beforeAutospacing="1" w:after="100" w:afterAutospacing="1" w:line="240" w:lineRule="auto"/>
    </w:pPr>
    <w:rPr>
      <w:rFonts w:ascii="Times New Roman" w:eastAsia="Times New Roman" w:hAnsi="Times New Roman"/>
      <w:sz w:val="24"/>
      <w:szCs w:val="24"/>
      <w:lang w:val="sv-SE" w:eastAsia="sv-SE"/>
    </w:rPr>
  </w:style>
  <w:style w:type="paragraph" w:customStyle="1" w:styleId="wp-caption-text">
    <w:name w:val="wp-caption-text"/>
    <w:basedOn w:val="Normal"/>
    <w:rsid w:val="009B3C6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Hyperlink">
    <w:name w:val="Hyperlink"/>
    <w:uiPriority w:val="99"/>
    <w:unhideWhenUsed/>
    <w:rsid w:val="009B3C64"/>
    <w:rPr>
      <w:color w:val="0000FF"/>
      <w:u w:val="single"/>
    </w:rPr>
  </w:style>
  <w:style w:type="paragraph" w:styleId="Caption">
    <w:name w:val="caption"/>
    <w:basedOn w:val="Normal"/>
    <w:next w:val="Normal"/>
    <w:uiPriority w:val="35"/>
    <w:qFormat/>
    <w:rsid w:val="009B3C64"/>
    <w:rPr>
      <w:b/>
      <w:bCs/>
      <w:sz w:val="20"/>
      <w:szCs w:val="20"/>
    </w:rPr>
  </w:style>
  <w:style w:type="character" w:customStyle="1" w:styleId="journaltitle">
    <w:name w:val="journaltitle"/>
    <w:basedOn w:val="DefaultParagraphFont"/>
    <w:rsid w:val="009B3C64"/>
  </w:style>
  <w:style w:type="character" w:customStyle="1" w:styleId="articlecitationyear">
    <w:name w:val="articlecitation_year"/>
    <w:basedOn w:val="DefaultParagraphFont"/>
    <w:rsid w:val="009B3C64"/>
  </w:style>
  <w:style w:type="character" w:customStyle="1" w:styleId="articlecitationvolume">
    <w:name w:val="articlecitation_volume"/>
    <w:basedOn w:val="DefaultParagraphFont"/>
    <w:rsid w:val="009B3C64"/>
  </w:style>
  <w:style w:type="character" w:customStyle="1" w:styleId="articlecitationpages">
    <w:name w:val="articlecitation_pages"/>
    <w:basedOn w:val="DefaultParagraphFont"/>
    <w:rsid w:val="009B3C64"/>
  </w:style>
  <w:style w:type="character" w:customStyle="1" w:styleId="A2">
    <w:name w:val="A2"/>
    <w:uiPriority w:val="99"/>
    <w:rsid w:val="009B3C64"/>
    <w:rPr>
      <w:rFonts w:cs="AGaramond"/>
      <w:color w:val="000000"/>
      <w:sz w:val="32"/>
      <w:szCs w:val="32"/>
    </w:rPr>
  </w:style>
  <w:style w:type="character" w:styleId="Emphasis">
    <w:name w:val="Emphasis"/>
    <w:uiPriority w:val="20"/>
    <w:qFormat/>
    <w:rsid w:val="009B3C64"/>
    <w:rPr>
      <w:i/>
      <w:iCs/>
    </w:rPr>
  </w:style>
  <w:style w:type="paragraph" w:customStyle="1" w:styleId="Default">
    <w:name w:val="Default"/>
    <w:rsid w:val="009B3C64"/>
    <w:pPr>
      <w:autoSpaceDE w:val="0"/>
      <w:autoSpaceDN w:val="0"/>
      <w:adjustRightInd w:val="0"/>
      <w:spacing w:after="0" w:line="240" w:lineRule="auto"/>
    </w:pPr>
    <w:rPr>
      <w:rFonts w:ascii="Arial" w:eastAsia="Calibri" w:hAnsi="Arial" w:cs="Arial"/>
      <w:color w:val="000000"/>
      <w:sz w:val="24"/>
      <w:szCs w:val="24"/>
      <w:lang w:val="fr-FR"/>
    </w:rPr>
  </w:style>
  <w:style w:type="paragraph" w:customStyle="1" w:styleId="CoverTitle">
    <w:name w:val="CoverTitle"/>
    <w:basedOn w:val="Default"/>
    <w:next w:val="Default"/>
    <w:uiPriority w:val="99"/>
    <w:rsid w:val="009B3C64"/>
    <w:rPr>
      <w:color w:val="auto"/>
    </w:rPr>
  </w:style>
  <w:style w:type="paragraph" w:styleId="Header">
    <w:name w:val="header"/>
    <w:basedOn w:val="Normal"/>
    <w:link w:val="HeaderChar"/>
    <w:uiPriority w:val="99"/>
    <w:unhideWhenUsed/>
    <w:rsid w:val="009B3C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3C64"/>
    <w:rPr>
      <w:rFonts w:ascii="Calibri" w:eastAsia="Calibri" w:hAnsi="Calibri" w:cs="Times New Roman"/>
      <w:lang w:val="fr-FR"/>
    </w:rPr>
  </w:style>
  <w:style w:type="paragraph" w:styleId="Footer">
    <w:name w:val="footer"/>
    <w:basedOn w:val="Normal"/>
    <w:link w:val="FooterChar"/>
    <w:uiPriority w:val="99"/>
    <w:unhideWhenUsed/>
    <w:rsid w:val="009B3C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3C64"/>
    <w:rPr>
      <w:rFonts w:ascii="Calibri" w:eastAsia="Calibri" w:hAnsi="Calibri" w:cs="Times New Roman"/>
      <w:lang w:val="fr-FR"/>
    </w:rPr>
  </w:style>
  <w:style w:type="character" w:styleId="CommentReference">
    <w:name w:val="annotation reference"/>
    <w:uiPriority w:val="99"/>
    <w:semiHidden/>
    <w:unhideWhenUsed/>
    <w:rsid w:val="009B3C64"/>
    <w:rPr>
      <w:sz w:val="16"/>
      <w:szCs w:val="16"/>
    </w:rPr>
  </w:style>
  <w:style w:type="character" w:styleId="HTMLCite">
    <w:name w:val="HTML Cite"/>
    <w:uiPriority w:val="99"/>
    <w:semiHidden/>
    <w:unhideWhenUsed/>
    <w:rsid w:val="009B3C64"/>
    <w:rPr>
      <w:i/>
      <w:iCs/>
    </w:rPr>
  </w:style>
  <w:style w:type="character" w:customStyle="1" w:styleId="authors">
    <w:name w:val="authors"/>
    <w:basedOn w:val="DefaultParagraphFont"/>
    <w:rsid w:val="009B3C64"/>
  </w:style>
  <w:style w:type="character" w:customStyle="1" w:styleId="Date1">
    <w:name w:val="Date1"/>
    <w:basedOn w:val="DefaultParagraphFont"/>
    <w:rsid w:val="009B3C64"/>
  </w:style>
  <w:style w:type="character" w:customStyle="1" w:styleId="arttitle">
    <w:name w:val="art_title"/>
    <w:basedOn w:val="DefaultParagraphFont"/>
    <w:rsid w:val="009B3C64"/>
  </w:style>
  <w:style w:type="character" w:customStyle="1" w:styleId="serialtitle">
    <w:name w:val="serial_title"/>
    <w:basedOn w:val="DefaultParagraphFont"/>
    <w:rsid w:val="009B3C64"/>
  </w:style>
  <w:style w:type="character" w:customStyle="1" w:styleId="volumeissue">
    <w:name w:val="volume_issue"/>
    <w:basedOn w:val="DefaultParagraphFont"/>
    <w:rsid w:val="009B3C64"/>
  </w:style>
  <w:style w:type="character" w:customStyle="1" w:styleId="pagerange">
    <w:name w:val="page_range"/>
    <w:basedOn w:val="DefaultParagraphFont"/>
    <w:rsid w:val="009B3C64"/>
  </w:style>
  <w:style w:type="character" w:customStyle="1" w:styleId="doilink">
    <w:name w:val="doi_link"/>
    <w:basedOn w:val="DefaultParagraphFont"/>
    <w:rsid w:val="009B3C64"/>
  </w:style>
  <w:style w:type="character" w:customStyle="1" w:styleId="title-text">
    <w:name w:val="title-text"/>
    <w:basedOn w:val="DefaultParagraphFont"/>
    <w:rsid w:val="009B3C64"/>
  </w:style>
  <w:style w:type="character" w:customStyle="1" w:styleId="size-m">
    <w:name w:val="size-m"/>
    <w:basedOn w:val="DefaultParagraphFont"/>
    <w:rsid w:val="009B3C64"/>
  </w:style>
  <w:style w:type="table" w:styleId="ColorfulGrid-Accent1">
    <w:name w:val="Colorful Grid Accent 1"/>
    <w:basedOn w:val="TableNormal"/>
    <w:link w:val="ColorfulGrid-Accent1Char"/>
    <w:semiHidden/>
    <w:unhideWhenUsed/>
    <w:rsid w:val="009B3C64"/>
    <w:pPr>
      <w:spacing w:after="0" w:line="240" w:lineRule="auto"/>
    </w:pPr>
    <w:rPr>
      <w:rFonts w:ascii="Calibri" w:eastAsia="Calibri" w:hAnsi="Calibri" w:cs="Times New Roman"/>
      <w:iCs/>
      <w:color w:val="404040"/>
      <w:lang w:val="fr-CA"/>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64350">
      <w:bodyDiv w:val="1"/>
      <w:marLeft w:val="0"/>
      <w:marRight w:val="0"/>
      <w:marTop w:val="0"/>
      <w:marBottom w:val="0"/>
      <w:divBdr>
        <w:top w:val="none" w:sz="0" w:space="0" w:color="auto"/>
        <w:left w:val="none" w:sz="0" w:space="0" w:color="auto"/>
        <w:bottom w:val="none" w:sz="0" w:space="0" w:color="auto"/>
        <w:right w:val="none" w:sz="0" w:space="0" w:color="auto"/>
      </w:divBdr>
    </w:div>
    <w:div w:id="211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91251603">
          <w:marLeft w:val="480"/>
          <w:marRight w:val="0"/>
          <w:marTop w:val="0"/>
          <w:marBottom w:val="0"/>
          <w:divBdr>
            <w:top w:val="none" w:sz="0" w:space="0" w:color="auto"/>
            <w:left w:val="none" w:sz="0" w:space="0" w:color="auto"/>
            <w:bottom w:val="none" w:sz="0" w:space="0" w:color="auto"/>
            <w:right w:val="none" w:sz="0" w:space="0" w:color="auto"/>
          </w:divBdr>
          <w:divsChild>
            <w:div w:id="2037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arvard.edu/alesina/publications/bureaucrats-or-politicians-part-i-single-policy-ta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76DD-C259-463B-96D4-CB8D635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9298</Words>
  <Characters>49283</Characters>
  <Application>Microsoft Office Word</Application>
  <DocSecurity>0</DocSecurity>
  <Lines>410</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ANOM1</cp:lastModifiedBy>
  <cp:revision>2</cp:revision>
  <dcterms:created xsi:type="dcterms:W3CDTF">2018-05-28T09:19:00Z</dcterms:created>
  <dcterms:modified xsi:type="dcterms:W3CDTF">2018-05-28T09:19:00Z</dcterms:modified>
</cp:coreProperties>
</file>