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42755" w14:textId="47723B50" w:rsidR="00605124" w:rsidRPr="00E67A43" w:rsidRDefault="00E67A43" w:rsidP="00E67A43">
      <w:pPr>
        <w:ind w:left="708" w:firstLine="708"/>
        <w:jc w:val="both"/>
        <w:rPr>
          <w:b/>
          <w:smallCaps/>
        </w:rPr>
      </w:pPr>
      <w:r w:rsidRPr="00E67A43">
        <w:rPr>
          <w:b/>
          <w:smallCaps/>
        </w:rPr>
        <w:t>Repenser la théorie moderne des nullités</w:t>
      </w:r>
    </w:p>
    <w:p w14:paraId="58716DBF" w14:textId="77777777" w:rsidR="005F4B7A" w:rsidRDefault="005F4B7A" w:rsidP="00E4206B">
      <w:pPr>
        <w:jc w:val="both"/>
      </w:pPr>
    </w:p>
    <w:p w14:paraId="49213D5F" w14:textId="045A5A36" w:rsidR="005E2D80" w:rsidRDefault="00E67A43" w:rsidP="00E4206B">
      <w:pPr>
        <w:jc w:val="both"/>
        <w:rPr>
          <w:lang w:val="nl-NL"/>
        </w:rPr>
      </w:pPr>
      <w:r w:rsidRPr="00E67A43">
        <w:rPr>
          <w:b/>
          <w:lang w:val="nl-NL"/>
        </w:rPr>
        <w:t>1. – Introduction.</w:t>
      </w:r>
      <w:r>
        <w:rPr>
          <w:lang w:val="nl-NL"/>
        </w:rPr>
        <w:t xml:space="preserve"> </w:t>
      </w:r>
      <w:r w:rsidR="005E2D80" w:rsidRPr="00044D7B">
        <w:rPr>
          <w:lang w:val="nl-NL"/>
        </w:rPr>
        <w:t>« En l’espèce le tribunal constate que la preuve de la demande et de l’obtention d’un permis d’urbanisme ou d’une régularisation n’est pas fournie. Le tribunal, confronté à une disposition d’ordre public, n’a pas d’autre choix que celui de prononcer d’office la nullité du bail et ce en application des dispositions d</w:t>
      </w:r>
      <w:r w:rsidR="007B3951">
        <w:rPr>
          <w:lang w:val="nl-NL"/>
        </w:rPr>
        <w:t>es art. 1131 et 1133 C. Civ. »</w:t>
      </w:r>
      <w:r w:rsidR="007B3951">
        <w:rPr>
          <w:rStyle w:val="Marquenotebasdepage"/>
          <w:lang w:val="nl-NL"/>
        </w:rPr>
        <w:footnoteReference w:id="1"/>
      </w:r>
      <w:r w:rsidR="005E2D80" w:rsidRPr="00044D7B">
        <w:rPr>
          <w:lang w:val="nl-NL"/>
        </w:rPr>
        <w:t>.</w:t>
      </w:r>
    </w:p>
    <w:p w14:paraId="610EEA61" w14:textId="77777777" w:rsidR="007B3951" w:rsidRDefault="007B3951" w:rsidP="00E4206B">
      <w:pPr>
        <w:jc w:val="both"/>
        <w:rPr>
          <w:lang w:val="nl-NL"/>
        </w:rPr>
      </w:pPr>
    </w:p>
    <w:p w14:paraId="79E8C074" w14:textId="166DE214" w:rsidR="007B3951" w:rsidRDefault="007B3951" w:rsidP="007B3951">
      <w:pPr>
        <w:jc w:val="both"/>
        <w:rPr>
          <w:lang w:val="nl-NL"/>
        </w:rPr>
      </w:pPr>
      <w:r>
        <w:rPr>
          <w:lang w:val="nl-NL"/>
        </w:rPr>
        <w:t>L’objet de la présente contribution est</w:t>
      </w:r>
      <w:r w:rsidR="00BD7F7E">
        <w:rPr>
          <w:lang w:val="nl-NL"/>
        </w:rPr>
        <w:t xml:space="preserve"> de</w:t>
      </w:r>
      <w:r>
        <w:rPr>
          <w:lang w:val="nl-NL"/>
        </w:rPr>
        <w:t xml:space="preserve"> démontrer que, contrairement à ce qu’affirme le juge de paix de Molenbeek-Saint-Jean (et avec lui, la doctrine et la jurisprudence largement majoritaires), l</w:t>
      </w:r>
      <w:r w:rsidRPr="00044D7B">
        <w:rPr>
          <w:lang w:val="nl-NL"/>
        </w:rPr>
        <w:t xml:space="preserve">e </w:t>
      </w:r>
      <w:r>
        <w:rPr>
          <w:lang w:val="nl-NL"/>
        </w:rPr>
        <w:t xml:space="preserve">juge, </w:t>
      </w:r>
      <w:r w:rsidRPr="00044D7B">
        <w:rPr>
          <w:lang w:val="nl-NL"/>
        </w:rPr>
        <w:t xml:space="preserve">confronté à une disposition d’ordre public, a </w:t>
      </w:r>
      <w:r>
        <w:rPr>
          <w:lang w:val="nl-NL"/>
        </w:rPr>
        <w:t xml:space="preserve">un </w:t>
      </w:r>
      <w:r w:rsidRPr="00044D7B">
        <w:rPr>
          <w:lang w:val="nl-NL"/>
        </w:rPr>
        <w:t>autre choix que celui de prononcer d’office la nullité</w:t>
      </w:r>
      <w:r>
        <w:rPr>
          <w:lang w:val="nl-NL"/>
        </w:rPr>
        <w:t xml:space="preserve"> d’une convention : il peut ne pas la prononcer. </w:t>
      </w:r>
    </w:p>
    <w:p w14:paraId="735F79F5" w14:textId="77777777" w:rsidR="005E2D80" w:rsidRDefault="005E2D80" w:rsidP="00E4206B">
      <w:pPr>
        <w:jc w:val="both"/>
      </w:pPr>
    </w:p>
    <w:p w14:paraId="1601D12A" w14:textId="21D33F62" w:rsidR="00905123" w:rsidRDefault="007B3951" w:rsidP="00905123">
      <w:pPr>
        <w:jc w:val="both"/>
      </w:pPr>
      <w:r>
        <w:rPr>
          <w:rFonts w:ascii="Times New Roman" w:hAnsi="Times New Roman"/>
          <w:lang w:val="fr-BE"/>
        </w:rPr>
        <w:t xml:space="preserve">Au risque de </w:t>
      </w:r>
      <w:r w:rsidR="002263DF">
        <w:rPr>
          <w:rFonts w:ascii="Times New Roman" w:hAnsi="Times New Roman"/>
          <w:lang w:val="fr-BE"/>
        </w:rPr>
        <w:t>donner raison à H</w:t>
      </w:r>
      <w:r w:rsidR="00FE48AE">
        <w:rPr>
          <w:rFonts w:ascii="Times New Roman" w:hAnsi="Times New Roman"/>
          <w:lang w:val="fr-BE"/>
        </w:rPr>
        <w:t xml:space="preserve">enri De Page </w:t>
      </w:r>
      <w:r w:rsidR="002263DF">
        <w:rPr>
          <w:rFonts w:ascii="Times New Roman" w:hAnsi="Times New Roman"/>
          <w:lang w:val="fr-BE"/>
        </w:rPr>
        <w:t xml:space="preserve">lorsqu’il </w:t>
      </w:r>
      <w:r w:rsidR="00FE48AE">
        <w:rPr>
          <w:rFonts w:ascii="Times New Roman" w:hAnsi="Times New Roman"/>
          <w:lang w:val="fr-BE"/>
        </w:rPr>
        <w:t>qualifie la théorie des nullités </w:t>
      </w:r>
      <w:r w:rsidR="002263DF">
        <w:rPr>
          <w:rFonts w:ascii="Times New Roman" w:hAnsi="Times New Roman"/>
          <w:lang w:val="fr-BE"/>
        </w:rPr>
        <w:t>d’</w:t>
      </w:r>
      <w:r w:rsidR="00FE48AE">
        <w:rPr>
          <w:rFonts w:ascii="Times New Roman" w:hAnsi="Times New Roman"/>
          <w:lang w:val="fr-BE"/>
        </w:rPr>
        <w:t>« </w:t>
      </w:r>
      <w:r w:rsidR="00FE48AE" w:rsidRPr="001B0FC3">
        <w:rPr>
          <w:rFonts w:ascii="Times New Roman" w:hAnsi="Times New Roman"/>
          <w:lang w:val="fr-BE"/>
        </w:rPr>
        <w:t>une des plus obscures qui soient »</w:t>
      </w:r>
      <w:r w:rsidR="00FE48AE">
        <w:rPr>
          <w:rStyle w:val="Marquenotebasdepage"/>
          <w:rFonts w:ascii="Times New Roman" w:hAnsi="Times New Roman"/>
          <w:lang w:val="fr-BE"/>
        </w:rPr>
        <w:footnoteReference w:id="2"/>
      </w:r>
      <w:r w:rsidR="002263DF">
        <w:rPr>
          <w:rFonts w:ascii="Times New Roman" w:hAnsi="Times New Roman"/>
          <w:lang w:val="fr-BE"/>
        </w:rPr>
        <w:t xml:space="preserve">, nous </w:t>
      </w:r>
      <w:r w:rsidR="00B0435D">
        <w:rPr>
          <w:rFonts w:ascii="Times New Roman" w:hAnsi="Times New Roman"/>
          <w:lang w:val="fr-BE"/>
        </w:rPr>
        <w:t>tenterons de</w:t>
      </w:r>
      <w:r w:rsidR="002263DF">
        <w:rPr>
          <w:rFonts w:ascii="Times New Roman" w:hAnsi="Times New Roman"/>
          <w:lang w:val="fr-BE"/>
        </w:rPr>
        <w:t xml:space="preserve"> démonter un des piliers de notre théorie moderne des nullités pour la simple mais très bonne raison qu’il est susceptible de mener à des conséquences absurdes</w:t>
      </w:r>
      <w:r w:rsidR="00FE74D6">
        <w:rPr>
          <w:rStyle w:val="Marquenotebasdepage"/>
        </w:rPr>
        <w:footnoteReference w:id="3"/>
      </w:r>
      <w:r w:rsidR="002263DF">
        <w:rPr>
          <w:rFonts w:ascii="Times New Roman" w:hAnsi="Times New Roman"/>
          <w:lang w:val="fr-BE"/>
        </w:rPr>
        <w:t xml:space="preserve">. </w:t>
      </w:r>
    </w:p>
    <w:p w14:paraId="2666FF6C" w14:textId="77777777" w:rsidR="006175AA" w:rsidRDefault="006175AA" w:rsidP="00905123">
      <w:pPr>
        <w:jc w:val="both"/>
      </w:pPr>
    </w:p>
    <w:p w14:paraId="2AE6E600" w14:textId="4D7EE11E" w:rsidR="002263DF" w:rsidRDefault="00B0435D" w:rsidP="00B0435D">
      <w:pPr>
        <w:jc w:val="both"/>
      </w:pPr>
      <w:r>
        <w:t>A cette fin</w:t>
      </w:r>
      <w:r w:rsidR="002263DF">
        <w:t xml:space="preserve">, nous </w:t>
      </w:r>
      <w:r>
        <w:t>essaierons</w:t>
      </w:r>
      <w:r w:rsidR="002263DF">
        <w:t>, a</w:t>
      </w:r>
      <w:r>
        <w:t xml:space="preserve">près avoir brièvement exposé le </w:t>
      </w:r>
      <w:r w:rsidR="00607577">
        <w:t xml:space="preserve">(double) </w:t>
      </w:r>
      <w:r>
        <w:t>problème posé</w:t>
      </w:r>
      <w:r w:rsidR="002263DF">
        <w:t xml:space="preserve"> par notre théorie des nullités (chapitre I), </w:t>
      </w:r>
      <w:r>
        <w:t xml:space="preserve">de répondre aux questions suivantes : quand l’ordre public est-il violé </w:t>
      </w:r>
      <w:r w:rsidR="002263DF">
        <w:t>par la formatio</w:t>
      </w:r>
      <w:r>
        <w:t xml:space="preserve">n d’un contrat (chapitre II) et quand </w:t>
      </w:r>
      <w:r w:rsidR="002263DF">
        <w:t xml:space="preserve">commande-t-il la sanction de la nullité (chapitre III) ? </w:t>
      </w:r>
    </w:p>
    <w:p w14:paraId="423F6B3D" w14:textId="77777777" w:rsidR="00905123" w:rsidRDefault="00905123" w:rsidP="00E4206B">
      <w:pPr>
        <w:jc w:val="both"/>
      </w:pPr>
    </w:p>
    <w:p w14:paraId="7E59DE82" w14:textId="0998260E" w:rsidR="00120DD5" w:rsidRPr="00E67A43" w:rsidRDefault="00120DD5" w:rsidP="00120DD5">
      <w:pPr>
        <w:jc w:val="both"/>
        <w:rPr>
          <w:b/>
          <w:smallCaps/>
        </w:rPr>
      </w:pPr>
      <w:r w:rsidRPr="00E67A43">
        <w:rPr>
          <w:b/>
          <w:smallCaps/>
        </w:rPr>
        <w:t xml:space="preserve">Chapitre I. La théorie </w:t>
      </w:r>
      <w:r w:rsidR="00F6523F" w:rsidRPr="00E67A43">
        <w:rPr>
          <w:b/>
          <w:smallCaps/>
        </w:rPr>
        <w:t xml:space="preserve">moderne </w:t>
      </w:r>
      <w:r w:rsidRPr="00E67A43">
        <w:rPr>
          <w:b/>
          <w:smallCaps/>
        </w:rPr>
        <w:t>des nullités</w:t>
      </w:r>
    </w:p>
    <w:p w14:paraId="4F2A4E00" w14:textId="77777777" w:rsidR="00120DD5" w:rsidRDefault="00120DD5" w:rsidP="00120DD5">
      <w:pPr>
        <w:jc w:val="both"/>
      </w:pPr>
    </w:p>
    <w:p w14:paraId="55978398" w14:textId="200A7B06" w:rsidR="00650B1B" w:rsidRDefault="00E67A43" w:rsidP="00120DD5">
      <w:pPr>
        <w:jc w:val="both"/>
      </w:pPr>
      <w:r w:rsidRPr="00E67A43">
        <w:rPr>
          <w:b/>
        </w:rPr>
        <w:t xml:space="preserve">2. </w:t>
      </w:r>
      <w:r w:rsidR="00607577">
        <w:rPr>
          <w:b/>
        </w:rPr>
        <w:t>–</w:t>
      </w:r>
      <w:r w:rsidRPr="00E67A43">
        <w:rPr>
          <w:b/>
        </w:rPr>
        <w:t xml:space="preserve"> </w:t>
      </w:r>
      <w:r w:rsidR="00650B1B">
        <w:t>A</w:t>
      </w:r>
      <w:r w:rsidR="00607577">
        <w:t xml:space="preserve"> partir d’un bref rappel de</w:t>
      </w:r>
      <w:r w:rsidR="00650B1B">
        <w:t xml:space="preserve"> quelques notions propres à la théorie moderne des nullités (section 1) nous pointerons </w:t>
      </w:r>
      <w:r w:rsidR="00607577">
        <w:t>un</w:t>
      </w:r>
      <w:r w:rsidR="00650B1B">
        <w:t xml:space="preserve"> </w:t>
      </w:r>
      <w:r w:rsidR="00607577">
        <w:t>double problème</w:t>
      </w:r>
      <w:r w:rsidR="00650B1B">
        <w:t xml:space="preserve"> (section 2) dont l’actualité </w:t>
      </w:r>
      <w:r w:rsidR="00607577">
        <w:t>doit nous amener à</w:t>
      </w:r>
      <w:r w:rsidR="00650B1B">
        <w:t xml:space="preserve"> repenser cette théorie à l’aide de ses sources (section 3). </w:t>
      </w:r>
    </w:p>
    <w:p w14:paraId="0F34365F" w14:textId="77777777" w:rsidR="00650B1B" w:rsidRDefault="00650B1B" w:rsidP="00120DD5">
      <w:pPr>
        <w:jc w:val="both"/>
      </w:pPr>
    </w:p>
    <w:p w14:paraId="00565E2E" w14:textId="0BC38896" w:rsidR="00120DD5" w:rsidRPr="00E67A43" w:rsidRDefault="00120DD5" w:rsidP="00D72A67">
      <w:pPr>
        <w:jc w:val="both"/>
        <w:rPr>
          <w:u w:val="single"/>
        </w:rPr>
      </w:pPr>
      <w:r w:rsidRPr="00E67A43">
        <w:rPr>
          <w:u w:val="single"/>
        </w:rPr>
        <w:t xml:space="preserve">Section 1. </w:t>
      </w:r>
      <w:r w:rsidR="00B9370A">
        <w:rPr>
          <w:u w:val="single"/>
        </w:rPr>
        <w:t>Quelques</w:t>
      </w:r>
      <w:r w:rsidR="005E722F" w:rsidRPr="00E67A43">
        <w:rPr>
          <w:u w:val="single"/>
        </w:rPr>
        <w:t xml:space="preserve"> notions</w:t>
      </w:r>
    </w:p>
    <w:p w14:paraId="54FB87D7" w14:textId="77777777" w:rsidR="00120DD5" w:rsidRDefault="00120DD5" w:rsidP="00120DD5">
      <w:pPr>
        <w:jc w:val="both"/>
      </w:pPr>
    </w:p>
    <w:p w14:paraId="5ABD529F" w14:textId="4D34129D" w:rsidR="00E01D61" w:rsidRDefault="00E67A43" w:rsidP="00D72A67">
      <w:pPr>
        <w:jc w:val="both"/>
      </w:pPr>
      <w:r>
        <w:rPr>
          <w:b/>
        </w:rPr>
        <w:t>3</w:t>
      </w:r>
      <w:r w:rsidR="004844B8" w:rsidRPr="004844B8">
        <w:rPr>
          <w:b/>
        </w:rPr>
        <w:t xml:space="preserve">. – </w:t>
      </w:r>
      <w:r w:rsidR="00650B1B">
        <w:rPr>
          <w:b/>
        </w:rPr>
        <w:t>Une d</w:t>
      </w:r>
      <w:r w:rsidR="004844B8" w:rsidRPr="004844B8">
        <w:rPr>
          <w:b/>
        </w:rPr>
        <w:t xml:space="preserve">éfinition. </w:t>
      </w:r>
      <w:r w:rsidR="00E01D61">
        <w:t xml:space="preserve">On peut définir la nullité d’un </w:t>
      </w:r>
      <w:r w:rsidR="00CA7F05">
        <w:t>acte juridique</w:t>
      </w:r>
      <w:r w:rsidR="00E01D61">
        <w:t xml:space="preserve"> comme étant la sanction qui le frappe lorsqu’une des conditions essentielles à sa validité fait défaut lors de sa </w:t>
      </w:r>
      <w:r w:rsidR="00CA7F05">
        <w:t>formation</w:t>
      </w:r>
      <w:r w:rsidR="00055715">
        <w:rPr>
          <w:rStyle w:val="Marquenotebasdepage"/>
        </w:rPr>
        <w:footnoteReference w:id="4"/>
      </w:r>
      <w:r w:rsidR="00E01D61">
        <w:t>.</w:t>
      </w:r>
    </w:p>
    <w:p w14:paraId="23BA2BA9" w14:textId="77777777" w:rsidR="00E01D61" w:rsidRDefault="00E01D61" w:rsidP="00D72A67">
      <w:pPr>
        <w:jc w:val="both"/>
      </w:pPr>
    </w:p>
    <w:p w14:paraId="30FD2680" w14:textId="24E08AAE" w:rsidR="00607577" w:rsidRDefault="00607577" w:rsidP="00D72A67">
      <w:pPr>
        <w:jc w:val="both"/>
      </w:pPr>
      <w:r>
        <w:t>Ces conditions essentielles sont reprises dans les articles 6, 1108 et suivants du Code civil</w:t>
      </w:r>
      <w:r w:rsidR="00227BD1">
        <w:t xml:space="preserve"> (en droit commun)</w:t>
      </w:r>
      <w:r>
        <w:t xml:space="preserve"> mais également dans de nombreuses législations particulières. Le Code civil </w:t>
      </w:r>
      <w:r w:rsidR="00227BD1">
        <w:t>prévoit</w:t>
      </w:r>
      <w:r>
        <w:t xml:space="preserve"> par ailleurs</w:t>
      </w:r>
      <w:r w:rsidR="00227BD1">
        <w:t>, pour certains</w:t>
      </w:r>
      <w:r>
        <w:t xml:space="preserve"> contrats</w:t>
      </w:r>
      <w:r w:rsidR="00227BD1">
        <w:t>,</w:t>
      </w:r>
      <w:r>
        <w:t xml:space="preserve"> </w:t>
      </w:r>
      <w:r w:rsidR="00227BD1">
        <w:t>d</w:t>
      </w:r>
      <w:r>
        <w:t>es exigences de forme dont l’absence entraîne la nullité absolue.</w:t>
      </w:r>
    </w:p>
    <w:p w14:paraId="7ABAC900" w14:textId="77777777" w:rsidR="00607577" w:rsidRDefault="00607577" w:rsidP="00D72A67">
      <w:pPr>
        <w:jc w:val="both"/>
      </w:pPr>
    </w:p>
    <w:p w14:paraId="10D9F6A3" w14:textId="79024083" w:rsidR="00F6523F" w:rsidRDefault="00E67A43" w:rsidP="00055715">
      <w:pPr>
        <w:jc w:val="both"/>
      </w:pPr>
      <w:r>
        <w:rPr>
          <w:b/>
        </w:rPr>
        <w:t>4</w:t>
      </w:r>
      <w:r w:rsidR="004844B8" w:rsidRPr="004844B8">
        <w:rPr>
          <w:b/>
        </w:rPr>
        <w:t xml:space="preserve">. – </w:t>
      </w:r>
      <w:r>
        <w:rPr>
          <w:b/>
        </w:rPr>
        <w:t>Q</w:t>
      </w:r>
      <w:r w:rsidR="004844B8" w:rsidRPr="004844B8">
        <w:rPr>
          <w:b/>
        </w:rPr>
        <w:t xml:space="preserve">uatre conditions et </w:t>
      </w:r>
      <w:r>
        <w:rPr>
          <w:b/>
        </w:rPr>
        <w:t xml:space="preserve">un </w:t>
      </w:r>
      <w:r w:rsidR="004844B8" w:rsidRPr="004844B8">
        <w:rPr>
          <w:b/>
        </w:rPr>
        <w:t>ordre public.</w:t>
      </w:r>
      <w:r w:rsidR="004844B8">
        <w:t xml:space="preserve"> </w:t>
      </w:r>
      <w:r w:rsidR="00E01D61">
        <w:t xml:space="preserve">Nul n’ignore les quatre conditions </w:t>
      </w:r>
      <w:r w:rsidR="00E01D61" w:rsidRPr="00E4206B">
        <w:t>visées par l’article 1108 du Code civil</w:t>
      </w:r>
      <w:r w:rsidR="00E01D61">
        <w:t xml:space="preserve">, </w:t>
      </w:r>
      <w:r w:rsidR="00EB23BB">
        <w:t xml:space="preserve">qui subordonne la validité de tout contrat à l’exigence qu’il ait </w:t>
      </w:r>
      <w:r w:rsidR="00EB23BB">
        <w:lastRenderedPageBreak/>
        <w:t xml:space="preserve">été conclu par </w:t>
      </w:r>
      <w:r w:rsidR="00055715">
        <w:t>des</w:t>
      </w:r>
      <w:r w:rsidR="00EB23BB">
        <w:t xml:space="preserve"> </w:t>
      </w:r>
      <w:r w:rsidR="00055715">
        <w:t>personnes</w:t>
      </w:r>
      <w:r w:rsidR="00EB23BB">
        <w:t xml:space="preserve"> qui</w:t>
      </w:r>
      <w:r w:rsidR="00CA7F05">
        <w:t>,</w:t>
      </w:r>
      <w:r w:rsidR="00EB23BB">
        <w:t xml:space="preserve"> </w:t>
      </w:r>
      <w:r w:rsidR="00CA7F05">
        <w:t>aya</w:t>
      </w:r>
      <w:r w:rsidR="00055715">
        <w:t>nt</w:t>
      </w:r>
      <w:r w:rsidR="00EB23BB">
        <w:t xml:space="preserve"> la </w:t>
      </w:r>
      <w:r w:rsidR="00EB23BB" w:rsidRPr="00CA7F05">
        <w:rPr>
          <w:i/>
        </w:rPr>
        <w:t>capacité</w:t>
      </w:r>
      <w:r w:rsidR="00EB23BB">
        <w:t xml:space="preserve"> pour </w:t>
      </w:r>
      <w:r w:rsidR="00CA7F05">
        <w:t>ce faire,</w:t>
      </w:r>
      <w:r w:rsidR="00EB23BB">
        <w:t xml:space="preserve"> </w:t>
      </w:r>
      <w:r w:rsidR="00055715">
        <w:t>ont donné</w:t>
      </w:r>
      <w:r w:rsidR="00F6523F">
        <w:t>, à des fins licites (</w:t>
      </w:r>
      <w:r w:rsidR="00F6523F" w:rsidRPr="00F6523F">
        <w:rPr>
          <w:i/>
        </w:rPr>
        <w:t>cause</w:t>
      </w:r>
      <w:r w:rsidR="00F6523F">
        <w:t>)</w:t>
      </w:r>
      <w:r w:rsidR="00055715">
        <w:t xml:space="preserve"> un </w:t>
      </w:r>
      <w:r w:rsidR="00055715" w:rsidRPr="00CA7F05">
        <w:rPr>
          <w:i/>
        </w:rPr>
        <w:t>consentement</w:t>
      </w:r>
      <w:r w:rsidR="00055715">
        <w:t xml:space="preserve"> valable </w:t>
      </w:r>
      <w:r w:rsidR="00CA7F05">
        <w:t xml:space="preserve">portant sur un </w:t>
      </w:r>
      <w:r w:rsidR="00CA7F05" w:rsidRPr="00F6523F">
        <w:rPr>
          <w:i/>
        </w:rPr>
        <w:t>objet</w:t>
      </w:r>
      <w:r w:rsidR="00CA7F05">
        <w:t xml:space="preserve"> </w:t>
      </w:r>
      <w:r w:rsidR="00CA7F05" w:rsidRPr="001B0FC3">
        <w:rPr>
          <w:rFonts w:ascii="Times New Roman" w:hAnsi="Times New Roman"/>
          <w:lang w:val="fr-BE"/>
        </w:rPr>
        <w:t xml:space="preserve">possible, licite, déterminé ou déterminable </w:t>
      </w:r>
      <w:r w:rsidR="00F6523F">
        <w:rPr>
          <w:rFonts w:ascii="Times New Roman" w:hAnsi="Times New Roman"/>
          <w:lang w:val="fr-BE"/>
        </w:rPr>
        <w:t>et relatif à</w:t>
      </w:r>
      <w:r w:rsidR="00CA7F05" w:rsidRPr="001B0FC3">
        <w:rPr>
          <w:rFonts w:ascii="Times New Roman" w:hAnsi="Times New Roman"/>
          <w:lang w:val="fr-BE"/>
        </w:rPr>
        <w:t xml:space="preserve"> une chose dans le commerce</w:t>
      </w:r>
      <w:r w:rsidR="00F6523F">
        <w:rPr>
          <w:rFonts w:ascii="Times New Roman" w:hAnsi="Times New Roman"/>
          <w:lang w:val="fr-BE"/>
        </w:rPr>
        <w:t>. L’article 6 du même code interdit de</w:t>
      </w:r>
      <w:r w:rsidR="00F6523F" w:rsidRPr="00F6523F">
        <w:rPr>
          <w:rFonts w:ascii="Times New Roman" w:hAnsi="Times New Roman"/>
          <w:lang w:val="fr-BE"/>
        </w:rPr>
        <w:t xml:space="preserve"> déroger, par des conventions particulières, aux lois qui intéressent l</w:t>
      </w:r>
      <w:r w:rsidR="00F6523F">
        <w:rPr>
          <w:rFonts w:ascii="Times New Roman" w:hAnsi="Times New Roman"/>
          <w:lang w:val="fr-BE"/>
        </w:rPr>
        <w:t>’</w:t>
      </w:r>
      <w:r w:rsidR="00F6523F" w:rsidRPr="00F6523F">
        <w:rPr>
          <w:rFonts w:ascii="Times New Roman" w:hAnsi="Times New Roman"/>
          <w:lang w:val="fr-BE"/>
        </w:rPr>
        <w:t>ordre public et les bonnes moeurs.</w:t>
      </w:r>
      <w:r w:rsidR="00F6523F">
        <w:t xml:space="preserve"> </w:t>
      </w:r>
    </w:p>
    <w:p w14:paraId="2A047F66" w14:textId="77777777" w:rsidR="00F6523F" w:rsidRDefault="00F6523F" w:rsidP="00055715">
      <w:pPr>
        <w:jc w:val="both"/>
      </w:pPr>
    </w:p>
    <w:p w14:paraId="1A215333" w14:textId="1F6E76AC" w:rsidR="00055715" w:rsidRDefault="00E67A43" w:rsidP="00055715">
      <w:pPr>
        <w:jc w:val="both"/>
      </w:pPr>
      <w:r>
        <w:rPr>
          <w:b/>
        </w:rPr>
        <w:t>5</w:t>
      </w:r>
      <w:r w:rsidR="004844B8" w:rsidRPr="004844B8">
        <w:rPr>
          <w:b/>
        </w:rPr>
        <w:t xml:space="preserve">. – Les contrats solennels. </w:t>
      </w:r>
      <w:r w:rsidR="00BD328D">
        <w:t>En outre, c</w:t>
      </w:r>
      <w:r w:rsidR="00055715">
        <w:t>ertains contrats, dits « solennels »</w:t>
      </w:r>
      <w:r w:rsidR="00055715" w:rsidRPr="00055715">
        <w:t xml:space="preserve"> </w:t>
      </w:r>
      <w:r w:rsidR="00607577">
        <w:t>élèvent au rang de condition essentielle</w:t>
      </w:r>
      <w:r w:rsidR="00055715">
        <w:t xml:space="preserve"> à leur formation une exigence de forme, le plus souvent un écrit voire un acte notarié, et ce sous peine de nullité absolue</w:t>
      </w:r>
      <w:r w:rsidR="00055715">
        <w:rPr>
          <w:rStyle w:val="Marquenotebasdepage"/>
        </w:rPr>
        <w:footnoteReference w:id="5"/>
      </w:r>
      <w:r w:rsidR="00055715">
        <w:t>.  On ne s’attardera pas sur ces contrats, qui ne représentent, comme le relevait déjà De Page, qu’une « infime exception » dans le Code civil</w:t>
      </w:r>
      <w:r w:rsidR="00055715">
        <w:rPr>
          <w:rStyle w:val="Marquenotebasdepage"/>
        </w:rPr>
        <w:footnoteReference w:id="6"/>
      </w:r>
      <w:r w:rsidR="00055715">
        <w:t xml:space="preserve">. </w:t>
      </w:r>
    </w:p>
    <w:p w14:paraId="08BDB754" w14:textId="712EC211" w:rsidR="00055715" w:rsidRDefault="00055715" w:rsidP="00D72A67">
      <w:pPr>
        <w:jc w:val="both"/>
      </w:pPr>
    </w:p>
    <w:p w14:paraId="311DD669" w14:textId="78C50914" w:rsidR="00055715" w:rsidRDefault="00E67A43" w:rsidP="00227BD1">
      <w:pPr>
        <w:jc w:val="both"/>
      </w:pPr>
      <w:r>
        <w:rPr>
          <w:b/>
        </w:rPr>
        <w:t>6</w:t>
      </w:r>
      <w:r w:rsidR="004844B8" w:rsidRPr="00650B1B">
        <w:rPr>
          <w:b/>
        </w:rPr>
        <w:t xml:space="preserve">. – Les législations particulières. </w:t>
      </w:r>
      <w:r w:rsidR="00055715">
        <w:t>Enfin, et on tend à l’oublier, certaines disposition</w:t>
      </w:r>
      <w:r w:rsidR="008E1FAD">
        <w:t>s légales</w:t>
      </w:r>
      <w:r w:rsidR="00BD328D">
        <w:t xml:space="preserve"> impératives</w:t>
      </w:r>
      <w:r w:rsidR="008E1FAD">
        <w:t xml:space="preserve"> </w:t>
      </w:r>
      <w:r w:rsidR="00DE0789">
        <w:t xml:space="preserve">ou d’ordre public </w:t>
      </w:r>
      <w:r w:rsidR="008E1FAD">
        <w:t>énoncent des conditions particulières po</w:t>
      </w:r>
      <w:r w:rsidR="00BD328D">
        <w:t>ur la validité de la formation d’un contrat</w:t>
      </w:r>
      <w:r w:rsidR="00BD328D">
        <w:rPr>
          <w:rStyle w:val="Marquenotebasdepage"/>
        </w:rPr>
        <w:footnoteReference w:id="7"/>
      </w:r>
      <w:r w:rsidR="00BD328D">
        <w:t xml:space="preserve">. </w:t>
      </w:r>
      <w:r w:rsidR="00227BD1">
        <w:t>A titre d’exemple, o</w:t>
      </w:r>
      <w:r w:rsidR="00BD328D">
        <w:t xml:space="preserve">n peut évoquer </w:t>
      </w:r>
      <w:r w:rsidR="00DE0789">
        <w:t xml:space="preserve">les articles 9 et 23 de la </w:t>
      </w:r>
      <w:r w:rsidR="00DE0789" w:rsidRPr="008F33C7">
        <w:rPr>
          <w:rFonts w:ascii="Times New Roman" w:hAnsi="Times New Roman"/>
          <w:lang w:val="fr-BE"/>
        </w:rPr>
        <w:t>loi du 16 février 1994 régissant le contrat d'organisation de voyages et le contrat d'intermédiaire de voyages</w:t>
      </w:r>
      <w:r w:rsidR="00DE0789">
        <w:rPr>
          <w:rFonts w:ascii="Times New Roman" w:hAnsi="Times New Roman"/>
          <w:lang w:val="fr-BE"/>
        </w:rPr>
        <w:t xml:space="preserve">, les articles 9 et 10 du Code wallon du logement ou </w:t>
      </w:r>
      <w:r w:rsidR="00227BD1">
        <w:rPr>
          <w:rFonts w:ascii="Times New Roman" w:hAnsi="Times New Roman"/>
          <w:lang w:val="fr-BE"/>
        </w:rPr>
        <w:t>certaines</w:t>
      </w:r>
      <w:r w:rsidR="00DE0789">
        <w:rPr>
          <w:rFonts w:ascii="Times New Roman" w:hAnsi="Times New Roman"/>
          <w:lang w:val="fr-BE"/>
        </w:rPr>
        <w:t xml:space="preserve"> règles</w:t>
      </w:r>
      <w:r w:rsidR="00227BD1">
        <w:rPr>
          <w:rFonts w:ascii="Times New Roman" w:hAnsi="Times New Roman"/>
          <w:lang w:val="fr-BE"/>
        </w:rPr>
        <w:t>,</w:t>
      </w:r>
      <w:r w:rsidR="00DE0789">
        <w:rPr>
          <w:rFonts w:ascii="Times New Roman" w:hAnsi="Times New Roman"/>
          <w:lang w:val="fr-BE"/>
        </w:rPr>
        <w:t xml:space="preserve"> toujours plus nombreuses</w:t>
      </w:r>
      <w:r w:rsidR="00227BD1">
        <w:rPr>
          <w:rFonts w:ascii="Times New Roman" w:hAnsi="Times New Roman"/>
          <w:lang w:val="fr-BE"/>
        </w:rPr>
        <w:t>,</w:t>
      </w:r>
      <w:r w:rsidR="00DE0789">
        <w:rPr>
          <w:rFonts w:ascii="Times New Roman" w:hAnsi="Times New Roman"/>
          <w:lang w:val="fr-BE"/>
        </w:rPr>
        <w:t xml:space="preserve"> en matière de vente immobilière ou de contrats conclus avec l’autorité publique. </w:t>
      </w:r>
      <w:r w:rsidR="00227BD1">
        <w:rPr>
          <w:rFonts w:ascii="Times New Roman" w:hAnsi="Times New Roman"/>
          <w:lang w:val="fr-BE"/>
        </w:rPr>
        <w:t xml:space="preserve">Il est impossible d’en dresser une liste exhaustive, d’autant que </w:t>
      </w:r>
      <w:r w:rsidR="00227BD1">
        <w:t>c</w:t>
      </w:r>
      <w:r w:rsidR="00BD328D">
        <w:t>es régimes particuliers te</w:t>
      </w:r>
      <w:r w:rsidR="00B47884">
        <w:t>ndent à se multiplier</w:t>
      </w:r>
      <w:r w:rsidR="00227BD1">
        <w:t xml:space="preserve">. Cette circonstance, on le verra, n’est pas sans conséquence </w:t>
      </w:r>
      <w:r w:rsidR="00B47884">
        <w:t xml:space="preserve">sur la question des nullités dès lors que </w:t>
      </w:r>
      <w:r w:rsidR="00B47884">
        <w:rPr>
          <w:rFonts w:ascii="Times New Roman" w:hAnsi="Times New Roman"/>
          <w:lang w:val="fr-BE"/>
        </w:rPr>
        <w:t>l’a</w:t>
      </w:r>
      <w:r w:rsidR="00B47884" w:rsidRPr="001B0FC3">
        <w:rPr>
          <w:rFonts w:ascii="Times New Roman" w:hAnsi="Times New Roman"/>
          <w:lang w:val="fr-BE"/>
        </w:rPr>
        <w:t>dage « point de nullité sans texte » n’a pas cours en droit civil</w:t>
      </w:r>
      <w:r w:rsidR="00B47884">
        <w:rPr>
          <w:rFonts w:ascii="Times New Roman" w:hAnsi="Times New Roman"/>
          <w:lang w:val="fr-BE"/>
        </w:rPr>
        <w:t xml:space="preserve">. </w:t>
      </w:r>
    </w:p>
    <w:p w14:paraId="01D82414" w14:textId="77777777" w:rsidR="00D72A67" w:rsidRDefault="00D72A67" w:rsidP="00D72A67">
      <w:pPr>
        <w:jc w:val="both"/>
      </w:pPr>
    </w:p>
    <w:p w14:paraId="34C7A00C" w14:textId="778D33FC" w:rsidR="00CC27D1" w:rsidRPr="0038130E" w:rsidRDefault="00E67A43" w:rsidP="00CC27D1">
      <w:pPr>
        <w:jc w:val="both"/>
      </w:pPr>
      <w:r>
        <w:rPr>
          <w:b/>
        </w:rPr>
        <w:t>7</w:t>
      </w:r>
      <w:r w:rsidR="00650B1B" w:rsidRPr="00650B1B">
        <w:rPr>
          <w:b/>
        </w:rPr>
        <w:t xml:space="preserve">. – Nullité relative et absolue. </w:t>
      </w:r>
      <w:r w:rsidR="00BD328D" w:rsidRPr="00DD6964">
        <w:t>Si l’une de ces conditions fait défaut, le contrat est</w:t>
      </w:r>
      <w:r w:rsidR="00B47884">
        <w:t>, en principe,</w:t>
      </w:r>
      <w:r w:rsidR="00BD328D">
        <w:t xml:space="preserve"> entaché d’une cause de nullité</w:t>
      </w:r>
      <w:r w:rsidR="00BD328D">
        <w:rPr>
          <w:rFonts w:ascii="Times New Roman" w:eastAsia="Times New Roman"/>
          <w:vertAlign w:val="superscript"/>
        </w:rPr>
        <w:footnoteReference w:id="8"/>
      </w:r>
      <w:r w:rsidR="0038130E">
        <w:t>, la conséquence de la nullité étant de faire disparaître rétroactivement le contrat de l’ordonnancement juridique</w:t>
      </w:r>
      <w:r w:rsidR="0038130E">
        <w:rPr>
          <w:rStyle w:val="Marquenotebasdepage"/>
        </w:rPr>
        <w:footnoteReference w:id="9"/>
      </w:r>
      <w:r w:rsidR="0038130E">
        <w:t xml:space="preserve">. </w:t>
      </w:r>
      <w:r w:rsidR="00BD328D">
        <w:t xml:space="preserve">Encore faut-il déterminer si la nullité est relative ou absolue. </w:t>
      </w:r>
      <w:r w:rsidR="00B47884">
        <w:t>Selon</w:t>
      </w:r>
      <w:r w:rsidR="00BD328D">
        <w:t xml:space="preserve"> De Page, </w:t>
      </w:r>
      <w:r w:rsidR="00BD328D" w:rsidRPr="00BD328D">
        <w:rPr>
          <w:lang w:val="fr-BE"/>
        </w:rPr>
        <w:t>« </w:t>
      </w:r>
      <w:r w:rsidR="00BD328D">
        <w:rPr>
          <w:lang w:val="fr-BE"/>
        </w:rPr>
        <w:t>t</w:t>
      </w:r>
      <w:r w:rsidR="00BD328D" w:rsidRPr="00BD328D">
        <w:rPr>
          <w:lang w:val="fr-BE"/>
        </w:rPr>
        <w:t xml:space="preserve">elle est la </w:t>
      </w:r>
      <w:r w:rsidR="00BD328D" w:rsidRPr="00BD328D">
        <w:rPr>
          <w:i/>
          <w:lang w:val="fr-BE"/>
        </w:rPr>
        <w:t>distinction</w:t>
      </w:r>
      <w:r w:rsidR="00BD328D" w:rsidRPr="00BD328D">
        <w:rPr>
          <w:lang w:val="fr-BE"/>
        </w:rPr>
        <w:t xml:space="preserve"> </w:t>
      </w:r>
      <w:r w:rsidR="00BD328D" w:rsidRPr="00BD328D">
        <w:rPr>
          <w:smallCaps/>
          <w:lang w:val="fr-BE"/>
        </w:rPr>
        <w:t>fondamentale</w:t>
      </w:r>
      <w:r w:rsidR="00BD328D" w:rsidRPr="00BD328D">
        <w:rPr>
          <w:lang w:val="fr-BE"/>
        </w:rPr>
        <w:t xml:space="preserve"> qui gouverne toute la matière »</w:t>
      </w:r>
      <w:r w:rsidR="00B47884">
        <w:rPr>
          <w:lang w:val="fr-BE"/>
        </w:rPr>
        <w:t>,</w:t>
      </w:r>
      <w:r w:rsidR="00BD328D">
        <w:rPr>
          <w:lang w:val="fr-BE"/>
        </w:rPr>
        <w:t xml:space="preserve"> </w:t>
      </w:r>
      <w:r w:rsidR="00D72A67">
        <w:t xml:space="preserve">la </w:t>
      </w:r>
      <w:r w:rsidR="00B47884">
        <w:rPr>
          <w:rFonts w:ascii="Times New Roman" w:hAnsi="Times New Roman"/>
          <w:lang w:val="fr-BE"/>
        </w:rPr>
        <w:t>nullité absolue étant</w:t>
      </w:r>
      <w:r w:rsidR="00D72A67" w:rsidRPr="001B0FC3">
        <w:rPr>
          <w:rFonts w:ascii="Times New Roman" w:hAnsi="Times New Roman"/>
          <w:lang w:val="fr-BE"/>
        </w:rPr>
        <w:t xml:space="preserve"> </w:t>
      </w:r>
      <w:r w:rsidR="00B47884">
        <w:rPr>
          <w:rFonts w:ascii="Times New Roman" w:hAnsi="Times New Roman"/>
          <w:lang w:val="fr-BE"/>
        </w:rPr>
        <w:t>« </w:t>
      </w:r>
      <w:r w:rsidR="00D72A67" w:rsidRPr="001B0FC3">
        <w:rPr>
          <w:rFonts w:ascii="Times New Roman" w:hAnsi="Times New Roman"/>
          <w:lang w:val="fr-BE"/>
        </w:rPr>
        <w:t xml:space="preserve">celle qui se fonde sur un </w:t>
      </w:r>
      <w:r w:rsidR="00D72A67" w:rsidRPr="001B0FC3">
        <w:rPr>
          <w:rFonts w:ascii="Times New Roman" w:hAnsi="Times New Roman"/>
          <w:i/>
          <w:lang w:val="fr-BE"/>
        </w:rPr>
        <w:t>motif d’ordre public</w:t>
      </w:r>
      <w:r w:rsidR="00D72A67" w:rsidRPr="001B0FC3">
        <w:rPr>
          <w:rFonts w:ascii="Times New Roman" w:hAnsi="Times New Roman"/>
          <w:lang w:val="fr-BE"/>
        </w:rPr>
        <w:t xml:space="preserve">, sur une considération </w:t>
      </w:r>
      <w:r w:rsidR="00D72A67" w:rsidRPr="001B0FC3">
        <w:rPr>
          <w:rFonts w:ascii="Times New Roman" w:hAnsi="Times New Roman"/>
          <w:i/>
          <w:lang w:val="fr-BE"/>
        </w:rPr>
        <w:t>d’intérêt général</w:t>
      </w:r>
      <w:r w:rsidR="00D72A67">
        <w:rPr>
          <w:rFonts w:ascii="Times New Roman" w:hAnsi="Times New Roman"/>
          <w:lang w:val="fr-BE"/>
        </w:rPr>
        <w:t> » alors que la</w:t>
      </w:r>
      <w:r w:rsidR="00D72A67" w:rsidRPr="001B0FC3">
        <w:rPr>
          <w:rFonts w:ascii="Times New Roman" w:hAnsi="Times New Roman"/>
          <w:lang w:val="fr-BE"/>
        </w:rPr>
        <w:t xml:space="preserve"> nullité relative </w:t>
      </w:r>
      <w:r w:rsidR="00B47884">
        <w:rPr>
          <w:rFonts w:ascii="Times New Roman" w:hAnsi="Times New Roman"/>
          <w:lang w:val="fr-BE"/>
        </w:rPr>
        <w:t>« </w:t>
      </w:r>
      <w:r w:rsidR="00D72A67" w:rsidRPr="001B0FC3">
        <w:rPr>
          <w:rFonts w:ascii="Times New Roman" w:hAnsi="Times New Roman"/>
          <w:lang w:val="fr-BE"/>
        </w:rPr>
        <w:t>n’est édictée qu’en vue de protéger des intérêts privés</w:t>
      </w:r>
      <w:r w:rsidR="00D72A67">
        <w:rPr>
          <w:rFonts w:ascii="Times New Roman" w:hAnsi="Times New Roman"/>
          <w:lang w:val="fr-BE"/>
        </w:rPr>
        <w:t> »</w:t>
      </w:r>
      <w:r w:rsidR="00D72A67" w:rsidRPr="001B0FC3">
        <w:rPr>
          <w:rStyle w:val="Marquenotebasdepage"/>
          <w:rFonts w:ascii="Times New Roman" w:hAnsi="Times New Roman"/>
          <w:lang w:val="fr-BE"/>
        </w:rPr>
        <w:footnoteReference w:id="10"/>
      </w:r>
      <w:r w:rsidR="00D72A67">
        <w:rPr>
          <w:rFonts w:ascii="Times New Roman" w:hAnsi="Times New Roman"/>
          <w:lang w:val="fr-BE"/>
        </w:rPr>
        <w:t>. Afin de déterminer quelle sanction doit être retenue, il faut donc « </w:t>
      </w:r>
      <w:r w:rsidR="00D72A67" w:rsidRPr="001B0FC3">
        <w:rPr>
          <w:rFonts w:ascii="Times New Roman" w:hAnsi="Times New Roman"/>
          <w:lang w:val="fr-BE"/>
        </w:rPr>
        <w:t>rechercher si la prohibition a été édictée dans un but d’intérêt public ou de simple protection d’intérêts privés »</w:t>
      </w:r>
      <w:r w:rsidR="00D72A67" w:rsidRPr="001B0FC3">
        <w:rPr>
          <w:rStyle w:val="Marquenotebasdepage"/>
          <w:rFonts w:ascii="Times New Roman" w:hAnsi="Times New Roman"/>
          <w:lang w:val="fr-BE"/>
        </w:rPr>
        <w:footnoteReference w:id="11"/>
      </w:r>
      <w:r w:rsidR="00D72A67">
        <w:rPr>
          <w:rFonts w:ascii="Times New Roman" w:hAnsi="Times New Roman"/>
          <w:lang w:val="fr-BE"/>
        </w:rPr>
        <w:t xml:space="preserve">. </w:t>
      </w:r>
      <w:r w:rsidR="00BD328D">
        <w:rPr>
          <w:rFonts w:ascii="Times New Roman" w:hAnsi="Times New Roman"/>
          <w:lang w:val="fr-BE"/>
        </w:rPr>
        <w:t xml:space="preserve">Comme le relève M. Coipel, notre théorie des nullités </w:t>
      </w:r>
      <w:r w:rsidR="00CC27D1">
        <w:rPr>
          <w:rFonts w:ascii="Times New Roman" w:hAnsi="Times New Roman"/>
          <w:lang w:val="fr-BE"/>
        </w:rPr>
        <w:t xml:space="preserve">est donc éminemment </w:t>
      </w:r>
      <w:r w:rsidR="00D72A67" w:rsidRPr="001B0FC3">
        <w:rPr>
          <w:rFonts w:ascii="Times New Roman" w:hAnsi="Times New Roman"/>
          <w:lang w:val="fr-BE"/>
        </w:rPr>
        <w:t>téléologique</w:t>
      </w:r>
      <w:r w:rsidR="00D72A67">
        <w:rPr>
          <w:rFonts w:ascii="Times New Roman" w:hAnsi="Times New Roman"/>
          <w:lang w:val="fr-BE"/>
        </w:rPr>
        <w:t xml:space="preserve"> en ce qu’elle invite à </w:t>
      </w:r>
      <w:r w:rsidR="00D72A67" w:rsidRPr="001B0FC3">
        <w:rPr>
          <w:rFonts w:ascii="Times New Roman" w:hAnsi="Times New Roman"/>
          <w:lang w:val="fr-BE"/>
        </w:rPr>
        <w:t>se pencher</w:t>
      </w:r>
      <w:r w:rsidR="00D72A67">
        <w:rPr>
          <w:rFonts w:ascii="Times New Roman" w:hAnsi="Times New Roman"/>
          <w:lang w:val="fr-BE"/>
        </w:rPr>
        <w:t xml:space="preserve"> sur</w:t>
      </w:r>
      <w:r w:rsidR="00CC27D1">
        <w:rPr>
          <w:rFonts w:ascii="Times New Roman" w:hAnsi="Times New Roman"/>
          <w:lang w:val="fr-BE"/>
        </w:rPr>
        <w:t xml:space="preserve"> le but que la </w:t>
      </w:r>
      <w:r w:rsidR="00CC27D1">
        <w:rPr>
          <w:rFonts w:ascii="Times New Roman" w:hAnsi="Times New Roman"/>
          <w:lang w:val="fr-BE"/>
        </w:rPr>
        <w:lastRenderedPageBreak/>
        <w:t>règle</w:t>
      </w:r>
      <w:r w:rsidR="00D72A67" w:rsidRPr="001B0FC3">
        <w:rPr>
          <w:rFonts w:ascii="Times New Roman" w:hAnsi="Times New Roman"/>
          <w:lang w:val="fr-BE"/>
        </w:rPr>
        <w:t xml:space="preserve"> poursuit</w:t>
      </w:r>
      <w:r w:rsidR="00D72A67" w:rsidRPr="001B0FC3">
        <w:rPr>
          <w:rStyle w:val="Marquenotebasdepage"/>
          <w:rFonts w:ascii="Times New Roman" w:hAnsi="Times New Roman"/>
          <w:lang w:val="fr-BE"/>
        </w:rPr>
        <w:footnoteReference w:id="12"/>
      </w:r>
      <w:r w:rsidR="00CC27D1">
        <w:rPr>
          <w:rFonts w:ascii="Times New Roman" w:hAnsi="Times New Roman"/>
          <w:lang w:val="fr-BE"/>
        </w:rPr>
        <w:t xml:space="preserve"> : </w:t>
      </w:r>
      <w:r w:rsidR="00D72A67" w:rsidRPr="00FC7287">
        <w:rPr>
          <w:rFonts w:ascii="Times New Roman" w:hAnsi="Times New Roman"/>
          <w:lang w:val="fr-BE"/>
        </w:rPr>
        <w:t>la nullité absolue sanctionne l’atteint</w:t>
      </w:r>
      <w:r w:rsidR="00D72A67">
        <w:rPr>
          <w:rFonts w:ascii="Times New Roman" w:hAnsi="Times New Roman"/>
          <w:lang w:val="fr-BE"/>
        </w:rPr>
        <w:t xml:space="preserve">e à la norme d’intérêt général, si elle relève </w:t>
      </w:r>
      <w:r w:rsidR="00D72A67" w:rsidRPr="00FC7287">
        <w:rPr>
          <w:rFonts w:ascii="Times New Roman" w:hAnsi="Times New Roman"/>
          <w:lang w:val="fr-BE"/>
        </w:rPr>
        <w:t>d</w:t>
      </w:r>
      <w:r w:rsidR="00D72A67">
        <w:rPr>
          <w:rFonts w:ascii="Times New Roman" w:hAnsi="Times New Roman"/>
          <w:lang w:val="fr-BE"/>
        </w:rPr>
        <w:t>e l’ordre public,</w:t>
      </w:r>
      <w:r w:rsidR="00D72A67" w:rsidRPr="00FC7287">
        <w:rPr>
          <w:rFonts w:ascii="Times New Roman" w:hAnsi="Times New Roman"/>
          <w:lang w:val="fr-BE"/>
        </w:rPr>
        <w:t xml:space="preserve"> et la nullité relative l’atteinte à la règle</w:t>
      </w:r>
      <w:r w:rsidR="00D72A67">
        <w:rPr>
          <w:rFonts w:ascii="Times New Roman" w:hAnsi="Times New Roman"/>
          <w:lang w:val="fr-BE"/>
        </w:rPr>
        <w:t>, impérative,</w:t>
      </w:r>
      <w:r w:rsidR="00D72A67" w:rsidRPr="00FC7287">
        <w:rPr>
          <w:rFonts w:ascii="Times New Roman" w:hAnsi="Times New Roman"/>
          <w:lang w:val="fr-BE"/>
        </w:rPr>
        <w:t xml:space="preserve"> qui protège des intérêts privés</w:t>
      </w:r>
      <w:r w:rsidR="00D72A67">
        <w:rPr>
          <w:rFonts w:ascii="Times New Roman" w:hAnsi="Times New Roman"/>
          <w:lang w:val="fr-BE"/>
        </w:rPr>
        <w:t xml:space="preserve">. </w:t>
      </w:r>
    </w:p>
    <w:p w14:paraId="4C0FF969" w14:textId="3DDCFA76" w:rsidR="00CC27D1" w:rsidRDefault="00CC27D1" w:rsidP="00CC27D1">
      <w:pPr>
        <w:jc w:val="both"/>
        <w:rPr>
          <w:rFonts w:ascii="Times New Roman" w:hAnsi="Times New Roman"/>
          <w:lang w:val="fr-BE"/>
        </w:rPr>
      </w:pPr>
    </w:p>
    <w:p w14:paraId="4835399D" w14:textId="31EB226E" w:rsidR="00F64C8B" w:rsidRDefault="00B47884" w:rsidP="00CC27D1">
      <w:pPr>
        <w:jc w:val="both"/>
        <w:rPr>
          <w:rFonts w:ascii="Times New Roman" w:hAnsi="Times New Roman"/>
          <w:lang w:val="fr-BE"/>
        </w:rPr>
      </w:pPr>
      <w:r>
        <w:rPr>
          <w:rFonts w:ascii="Times New Roman" w:hAnsi="Times New Roman"/>
          <w:lang w:val="fr-BE"/>
        </w:rPr>
        <w:t xml:space="preserve">Il est dorénavant largement accepté que </w:t>
      </w:r>
      <w:r w:rsidR="00D72A67">
        <w:rPr>
          <w:rFonts w:ascii="Times New Roman" w:hAnsi="Times New Roman"/>
          <w:lang w:val="fr-BE"/>
        </w:rPr>
        <w:t>les vices de consentement, les in</w:t>
      </w:r>
      <w:r w:rsidR="00AA5E78">
        <w:rPr>
          <w:rFonts w:ascii="Times New Roman" w:hAnsi="Times New Roman"/>
          <w:lang w:val="fr-BE"/>
        </w:rPr>
        <w:t xml:space="preserve">capacités, l’absence de cause, </w:t>
      </w:r>
      <w:r w:rsidR="00AA5E78" w:rsidRPr="00F64C8B">
        <w:rPr>
          <w:rFonts w:ascii="Times New Roman" w:hAnsi="Times New Roman"/>
          <w:lang w:val="fr-BE"/>
        </w:rPr>
        <w:t>l’impossibilité ou l’indétermination</w:t>
      </w:r>
      <w:r w:rsidR="00AA5E78">
        <w:rPr>
          <w:rFonts w:ascii="Times New Roman" w:hAnsi="Times New Roman"/>
          <w:lang w:val="fr-BE"/>
        </w:rPr>
        <w:t xml:space="preserve"> </w:t>
      </w:r>
      <w:r w:rsidR="00D72A67">
        <w:rPr>
          <w:rFonts w:ascii="Times New Roman" w:hAnsi="Times New Roman"/>
          <w:lang w:val="fr-BE"/>
        </w:rPr>
        <w:t>d</w:t>
      </w:r>
      <w:r w:rsidR="00AA5E78">
        <w:rPr>
          <w:rFonts w:ascii="Times New Roman" w:hAnsi="Times New Roman"/>
          <w:lang w:val="fr-BE"/>
        </w:rPr>
        <w:t>e l</w:t>
      </w:r>
      <w:r w:rsidR="00D72A67">
        <w:rPr>
          <w:rFonts w:ascii="Times New Roman" w:hAnsi="Times New Roman"/>
          <w:lang w:val="fr-BE"/>
        </w:rPr>
        <w:t>’objet ne doivent être frappés que de nullité relative alors que l’objet et la cause illicites sont sanctionnés par une nullité absolue</w:t>
      </w:r>
      <w:r w:rsidR="00D72A67" w:rsidRPr="001B0FC3">
        <w:rPr>
          <w:rStyle w:val="Marquenotebasdepage"/>
          <w:rFonts w:ascii="Times New Roman" w:hAnsi="Times New Roman"/>
          <w:lang w:val="fr-BE"/>
        </w:rPr>
        <w:footnoteReference w:id="13"/>
      </w:r>
      <w:r w:rsidR="00D72A67">
        <w:rPr>
          <w:rFonts w:ascii="Times New Roman" w:hAnsi="Times New Roman"/>
          <w:lang w:val="fr-BE"/>
        </w:rPr>
        <w:t>,</w:t>
      </w:r>
      <w:r w:rsidR="00D72A67" w:rsidRPr="008F6B4C">
        <w:rPr>
          <w:rFonts w:ascii="Times New Roman" w:hAnsi="Times New Roman"/>
          <w:lang w:val="fr-BE"/>
        </w:rPr>
        <w:t xml:space="preserve"> l’intérêt général </w:t>
      </w:r>
      <w:r w:rsidR="00D72A67">
        <w:rPr>
          <w:rFonts w:ascii="Times New Roman" w:hAnsi="Times New Roman"/>
          <w:lang w:val="fr-BE"/>
        </w:rPr>
        <w:t>é</w:t>
      </w:r>
      <w:r w:rsidR="00D72A67" w:rsidRPr="008F6B4C">
        <w:rPr>
          <w:rFonts w:ascii="Times New Roman" w:hAnsi="Times New Roman"/>
          <w:lang w:val="fr-BE"/>
        </w:rPr>
        <w:t>t</w:t>
      </w:r>
      <w:r w:rsidR="00D72A67">
        <w:rPr>
          <w:rFonts w:ascii="Times New Roman" w:hAnsi="Times New Roman"/>
          <w:lang w:val="fr-BE"/>
        </w:rPr>
        <w:t>ant</w:t>
      </w:r>
      <w:r w:rsidR="00D72A67" w:rsidRPr="008F6B4C">
        <w:rPr>
          <w:rFonts w:ascii="Times New Roman" w:hAnsi="Times New Roman"/>
          <w:lang w:val="fr-BE"/>
        </w:rPr>
        <w:t xml:space="preserve"> en péril</w:t>
      </w:r>
      <w:r w:rsidR="00D72A67" w:rsidRPr="001B0FC3">
        <w:rPr>
          <w:rStyle w:val="Marquenotebasdepage"/>
          <w:rFonts w:ascii="Times New Roman" w:hAnsi="Times New Roman"/>
          <w:lang w:val="fr-BE"/>
        </w:rPr>
        <w:footnoteReference w:id="14"/>
      </w:r>
      <w:r w:rsidR="00D72A67">
        <w:rPr>
          <w:rFonts w:ascii="Times New Roman" w:hAnsi="Times New Roman"/>
          <w:lang w:val="fr-BE"/>
        </w:rPr>
        <w:t xml:space="preserve">. </w:t>
      </w:r>
      <w:r>
        <w:rPr>
          <w:rFonts w:ascii="Times New Roman" w:hAnsi="Times New Roman"/>
          <w:lang w:val="fr-BE"/>
        </w:rPr>
        <w:t>Si la question a été controversée, il est désormais admis, depuis un arrêt de la Cour de cassation du 21 octobre 1971</w:t>
      </w:r>
      <w:r>
        <w:rPr>
          <w:rStyle w:val="Marquenotebasdepage"/>
          <w:rFonts w:ascii="Times New Roman" w:hAnsi="Times New Roman"/>
          <w:lang w:val="fr-BE"/>
        </w:rPr>
        <w:footnoteReference w:id="15"/>
      </w:r>
      <w:r>
        <w:rPr>
          <w:rFonts w:ascii="Times New Roman" w:hAnsi="Times New Roman"/>
          <w:lang w:val="fr-BE"/>
        </w:rPr>
        <w:t xml:space="preserve">, que l’absence de consentement </w:t>
      </w:r>
      <w:r w:rsidR="00AA5E78">
        <w:rPr>
          <w:rFonts w:ascii="Times New Roman" w:hAnsi="Times New Roman"/>
          <w:lang w:val="fr-BE"/>
        </w:rPr>
        <w:t>constitue une cause de nullité relative</w:t>
      </w:r>
      <w:r w:rsidR="00AA5E78">
        <w:rPr>
          <w:rStyle w:val="Marquenotebasdepage"/>
          <w:rFonts w:ascii="Times New Roman" w:hAnsi="Times New Roman"/>
          <w:lang w:val="fr-BE"/>
        </w:rPr>
        <w:footnoteReference w:id="16"/>
      </w:r>
      <w:r w:rsidR="00AA5E78">
        <w:rPr>
          <w:rFonts w:ascii="Times New Roman" w:hAnsi="Times New Roman"/>
          <w:lang w:val="fr-BE"/>
        </w:rPr>
        <w:t xml:space="preserve">. </w:t>
      </w:r>
    </w:p>
    <w:p w14:paraId="7976270E" w14:textId="77777777" w:rsidR="0038130E" w:rsidRDefault="0038130E" w:rsidP="00CC27D1">
      <w:pPr>
        <w:jc w:val="both"/>
        <w:rPr>
          <w:rFonts w:ascii="Times New Roman" w:hAnsi="Times New Roman"/>
          <w:lang w:val="fr-BE"/>
        </w:rPr>
      </w:pPr>
    </w:p>
    <w:p w14:paraId="50AFE8FF" w14:textId="535839D1" w:rsidR="002F2359" w:rsidRDefault="007D3068" w:rsidP="007D3068">
      <w:pPr>
        <w:jc w:val="both"/>
        <w:rPr>
          <w:rFonts w:ascii="Times New Roman" w:hAnsi="Times New Roman"/>
          <w:lang w:val="fr-BE"/>
        </w:rPr>
      </w:pPr>
      <w:r>
        <w:rPr>
          <w:rFonts w:ascii="Times New Roman" w:hAnsi="Times New Roman"/>
          <w:lang w:val="fr-BE"/>
        </w:rPr>
        <w:t>Il est classiquement enseigné que plusieurs différences distinguent</w:t>
      </w:r>
      <w:r w:rsidR="002F2359">
        <w:rPr>
          <w:rFonts w:ascii="Times New Roman" w:hAnsi="Times New Roman"/>
          <w:lang w:val="fr-BE"/>
        </w:rPr>
        <w:t xml:space="preserve"> le régime de la nullité absolue de celui de la nullité relative : </w:t>
      </w:r>
    </w:p>
    <w:p w14:paraId="606E589E" w14:textId="77777777" w:rsidR="002F2359" w:rsidRDefault="002F2359" w:rsidP="00CC27D1">
      <w:pPr>
        <w:jc w:val="both"/>
        <w:rPr>
          <w:rFonts w:ascii="Times New Roman" w:hAnsi="Times New Roman"/>
          <w:lang w:val="fr-BE"/>
        </w:rPr>
      </w:pPr>
    </w:p>
    <w:p w14:paraId="2BD50486" w14:textId="0268E7F6" w:rsidR="002F2359" w:rsidRDefault="002F2359" w:rsidP="002F2359">
      <w:pPr>
        <w:pStyle w:val="Paragraphedeliste"/>
        <w:numPr>
          <w:ilvl w:val="0"/>
          <w:numId w:val="7"/>
        </w:numPr>
        <w:jc w:val="both"/>
        <w:rPr>
          <w:rFonts w:ascii="Times New Roman" w:hAnsi="Times New Roman"/>
          <w:lang w:val="fr-BE"/>
        </w:rPr>
      </w:pPr>
      <w:r w:rsidRPr="002F2359">
        <w:rPr>
          <w:rFonts w:ascii="Times New Roman" w:hAnsi="Times New Roman"/>
          <w:lang w:val="fr-BE"/>
        </w:rPr>
        <w:t>l</w:t>
      </w:r>
      <w:r w:rsidR="00D72A67" w:rsidRPr="002F2359">
        <w:rPr>
          <w:rFonts w:ascii="Times New Roman" w:hAnsi="Times New Roman"/>
          <w:lang w:val="fr-BE"/>
        </w:rPr>
        <w:t xml:space="preserve">e titulaire du droit de critique est toute personne y ayant un intérêt, en cas de nullité absolue, mais seulement la partie protégée en cas de nullité relative, </w:t>
      </w:r>
    </w:p>
    <w:p w14:paraId="4873EA6C" w14:textId="5E526777" w:rsidR="002F2359" w:rsidRDefault="002F2359" w:rsidP="002F2359">
      <w:pPr>
        <w:pStyle w:val="Paragraphedeliste"/>
        <w:numPr>
          <w:ilvl w:val="0"/>
          <w:numId w:val="7"/>
        </w:numPr>
        <w:jc w:val="both"/>
        <w:rPr>
          <w:rFonts w:ascii="Times New Roman" w:hAnsi="Times New Roman"/>
          <w:lang w:val="fr-BE"/>
        </w:rPr>
      </w:pPr>
      <w:r>
        <w:rPr>
          <w:rFonts w:ascii="Times New Roman" w:hAnsi="Times New Roman"/>
          <w:lang w:val="fr-BE"/>
        </w:rPr>
        <w:t>les nullités absolues ne sont pas susceptibles de confirmation</w:t>
      </w:r>
      <w:r w:rsidR="00923AA1">
        <w:rPr>
          <w:rFonts w:ascii="Times New Roman" w:hAnsi="Times New Roman"/>
          <w:lang w:val="fr-BE"/>
        </w:rPr>
        <w:t xml:space="preserve"> alors que les parties à un contrat frappé de nullité relative peuvent, à certaines conditions, renoncer à </w:t>
      </w:r>
      <w:r w:rsidR="007D3068">
        <w:rPr>
          <w:rFonts w:ascii="Times New Roman" w:hAnsi="Times New Roman"/>
          <w:lang w:val="fr-BE"/>
        </w:rPr>
        <w:t>l’</w:t>
      </w:r>
      <w:r w:rsidR="00923AA1">
        <w:rPr>
          <w:rFonts w:ascii="Times New Roman" w:hAnsi="Times New Roman"/>
          <w:lang w:val="fr-BE"/>
        </w:rPr>
        <w:t>invoquer</w:t>
      </w:r>
      <w:r w:rsidRPr="001B0FC3">
        <w:rPr>
          <w:rStyle w:val="Marquenotebasdepage"/>
          <w:rFonts w:ascii="Times New Roman" w:hAnsi="Times New Roman"/>
          <w:lang w:val="fr-BE"/>
        </w:rPr>
        <w:footnoteReference w:id="17"/>
      </w:r>
      <w:r>
        <w:rPr>
          <w:rFonts w:ascii="Times New Roman" w:hAnsi="Times New Roman"/>
          <w:lang w:val="fr-BE"/>
        </w:rPr>
        <w:t>,</w:t>
      </w:r>
    </w:p>
    <w:p w14:paraId="2C5680E3" w14:textId="7A2FAC81" w:rsidR="002F2359" w:rsidRPr="002F2359" w:rsidRDefault="007D3068" w:rsidP="00923AA1">
      <w:pPr>
        <w:pStyle w:val="Paragraphedeliste"/>
        <w:numPr>
          <w:ilvl w:val="0"/>
          <w:numId w:val="7"/>
        </w:numPr>
        <w:jc w:val="both"/>
        <w:rPr>
          <w:rFonts w:ascii="Times New Roman" w:hAnsi="Times New Roman"/>
          <w:lang w:val="fr-BE"/>
        </w:rPr>
      </w:pPr>
      <w:r>
        <w:rPr>
          <w:rFonts w:ascii="Times New Roman" w:hAnsi="Times New Roman"/>
          <w:lang w:val="fr-BE"/>
        </w:rPr>
        <w:t>l</w:t>
      </w:r>
      <w:r w:rsidR="00923AA1">
        <w:rPr>
          <w:rFonts w:ascii="Times New Roman" w:hAnsi="Times New Roman"/>
          <w:lang w:val="fr-BE"/>
        </w:rPr>
        <w:t>e</w:t>
      </w:r>
      <w:r>
        <w:rPr>
          <w:rFonts w:ascii="Times New Roman" w:hAnsi="Times New Roman"/>
          <w:lang w:val="fr-BE"/>
        </w:rPr>
        <w:t xml:space="preserve"> point de départ du</w:t>
      </w:r>
      <w:r w:rsidR="00923AA1">
        <w:rPr>
          <w:rFonts w:ascii="Times New Roman" w:hAnsi="Times New Roman"/>
          <w:lang w:val="fr-BE"/>
        </w:rPr>
        <w:t xml:space="preserve"> délai de</w:t>
      </w:r>
      <w:r w:rsidRPr="007D3068">
        <w:rPr>
          <w:rFonts w:ascii="Times New Roman" w:hAnsi="Times New Roman"/>
          <w:lang w:val="fr-BE"/>
        </w:rPr>
        <w:t xml:space="preserve"> </w:t>
      </w:r>
      <w:r>
        <w:rPr>
          <w:rFonts w:ascii="Times New Roman" w:hAnsi="Times New Roman"/>
          <w:lang w:val="fr-BE"/>
        </w:rPr>
        <w:t>prescription de</w:t>
      </w:r>
      <w:r w:rsidR="00923AA1">
        <w:rPr>
          <w:rFonts w:ascii="Times New Roman" w:hAnsi="Times New Roman"/>
          <w:lang w:val="fr-BE"/>
        </w:rPr>
        <w:t xml:space="preserve"> l’action en</w:t>
      </w:r>
      <w:r>
        <w:rPr>
          <w:rFonts w:ascii="Times New Roman" w:hAnsi="Times New Roman"/>
          <w:lang w:val="fr-BE"/>
        </w:rPr>
        <w:t xml:space="preserve"> nullité</w:t>
      </w:r>
      <w:r w:rsidR="00923AA1">
        <w:rPr>
          <w:rFonts w:ascii="Times New Roman" w:hAnsi="Times New Roman"/>
          <w:lang w:val="fr-BE"/>
        </w:rPr>
        <w:t xml:space="preserve"> est différent</w:t>
      </w:r>
      <w:r w:rsidR="002F2359">
        <w:rPr>
          <w:rStyle w:val="Marquenotebasdepage"/>
          <w:rFonts w:ascii="Times New Roman" w:hAnsi="Times New Roman"/>
          <w:lang w:val="fr-BE"/>
        </w:rPr>
        <w:footnoteReference w:id="18"/>
      </w:r>
      <w:r w:rsidR="002F2359">
        <w:rPr>
          <w:rFonts w:ascii="Times New Roman" w:hAnsi="Times New Roman"/>
          <w:lang w:val="fr-BE"/>
        </w:rPr>
        <w:t>,</w:t>
      </w:r>
    </w:p>
    <w:p w14:paraId="49F95AD0" w14:textId="04DE7CF3" w:rsidR="002F2359" w:rsidRDefault="002F2359" w:rsidP="002F2359">
      <w:pPr>
        <w:pStyle w:val="Paragraphedeliste"/>
        <w:numPr>
          <w:ilvl w:val="0"/>
          <w:numId w:val="7"/>
        </w:numPr>
        <w:jc w:val="both"/>
        <w:rPr>
          <w:rFonts w:ascii="Times New Roman" w:hAnsi="Times New Roman"/>
          <w:lang w:val="fr-BE"/>
        </w:rPr>
      </w:pPr>
      <w:r>
        <w:rPr>
          <w:rFonts w:ascii="Times New Roman" w:hAnsi="Times New Roman"/>
          <w:lang w:val="fr-BE"/>
        </w:rPr>
        <w:t>le juge doit soulever d’office la nullité absolue</w:t>
      </w:r>
      <w:r w:rsidR="007D3068">
        <w:rPr>
          <w:rFonts w:ascii="Times New Roman" w:hAnsi="Times New Roman"/>
          <w:lang w:val="fr-BE"/>
        </w:rPr>
        <w:t xml:space="preserve"> alors qu’il ne peut prononcer, </w:t>
      </w:r>
      <w:r w:rsidR="007D3068" w:rsidRPr="008F21EE">
        <w:rPr>
          <w:rFonts w:ascii="Times New Roman" w:hAnsi="Times New Roman"/>
          <w:i/>
          <w:lang w:val="fr-BE"/>
        </w:rPr>
        <w:t>motu proprio</w:t>
      </w:r>
      <w:r w:rsidR="007D3068">
        <w:rPr>
          <w:rFonts w:ascii="Times New Roman" w:hAnsi="Times New Roman"/>
          <w:lang w:val="fr-BE"/>
        </w:rPr>
        <w:t>, la nullité</w:t>
      </w:r>
      <w:r w:rsidR="00C4017C">
        <w:rPr>
          <w:rFonts w:ascii="Times New Roman" w:hAnsi="Times New Roman"/>
          <w:lang w:val="fr-BE"/>
        </w:rPr>
        <w:t xml:space="preserve"> relative</w:t>
      </w:r>
      <w:r w:rsidR="00D72A67" w:rsidRPr="001B0FC3">
        <w:rPr>
          <w:rStyle w:val="Marquenotebasdepage"/>
          <w:rFonts w:ascii="Times New Roman" w:hAnsi="Times New Roman"/>
          <w:lang w:val="fr-BE"/>
        </w:rPr>
        <w:footnoteReference w:id="19"/>
      </w:r>
      <w:r w:rsidR="00923AA1">
        <w:rPr>
          <w:rFonts w:ascii="Times New Roman" w:hAnsi="Times New Roman"/>
          <w:lang w:val="fr-BE"/>
        </w:rPr>
        <w:t>.</w:t>
      </w:r>
      <w:r>
        <w:rPr>
          <w:rFonts w:ascii="Times New Roman" w:hAnsi="Times New Roman"/>
          <w:lang w:val="fr-BE"/>
        </w:rPr>
        <w:t xml:space="preserve"> </w:t>
      </w:r>
    </w:p>
    <w:p w14:paraId="666C325E" w14:textId="77777777" w:rsidR="00C4017C" w:rsidRDefault="00C4017C" w:rsidP="00C4017C">
      <w:pPr>
        <w:jc w:val="both"/>
        <w:rPr>
          <w:rFonts w:ascii="Times New Roman" w:hAnsi="Times New Roman"/>
          <w:lang w:val="fr-BE"/>
        </w:rPr>
      </w:pPr>
    </w:p>
    <w:p w14:paraId="55E73DEE" w14:textId="68A836B4" w:rsidR="00C4017C" w:rsidRPr="00C4017C" w:rsidRDefault="00C4017C" w:rsidP="00C4017C">
      <w:pPr>
        <w:jc w:val="both"/>
        <w:rPr>
          <w:rFonts w:ascii="Times New Roman" w:hAnsi="Times New Roman"/>
          <w:lang w:val="fr-BE"/>
        </w:rPr>
      </w:pPr>
      <w:r>
        <w:rPr>
          <w:rFonts w:ascii="Times New Roman" w:hAnsi="Times New Roman"/>
          <w:lang w:val="fr-BE"/>
        </w:rPr>
        <w:t xml:space="preserve">C’est tout particulièrement ce dernier point qui </w:t>
      </w:r>
      <w:r w:rsidR="00B9370A">
        <w:rPr>
          <w:rFonts w:ascii="Times New Roman" w:hAnsi="Times New Roman"/>
          <w:lang w:val="fr-BE"/>
        </w:rPr>
        <w:t>fera l’objet de nos critiques.</w:t>
      </w:r>
    </w:p>
    <w:p w14:paraId="453AB86C" w14:textId="77777777" w:rsidR="001A11D5" w:rsidRDefault="001A11D5" w:rsidP="00120DD5">
      <w:pPr>
        <w:jc w:val="both"/>
      </w:pPr>
    </w:p>
    <w:p w14:paraId="648C905E" w14:textId="12CECD59" w:rsidR="00D72A67" w:rsidRPr="00E67A43" w:rsidRDefault="00D72A67" w:rsidP="00120DD5">
      <w:pPr>
        <w:jc w:val="both"/>
        <w:rPr>
          <w:u w:val="single"/>
        </w:rPr>
      </w:pPr>
      <w:r w:rsidRPr="00E67A43">
        <w:rPr>
          <w:u w:val="single"/>
        </w:rPr>
        <w:t xml:space="preserve">Section 2. </w:t>
      </w:r>
      <w:r w:rsidR="00F23F6A" w:rsidRPr="00E67A43">
        <w:rPr>
          <w:u w:val="single"/>
        </w:rPr>
        <w:t>Les p</w:t>
      </w:r>
      <w:r w:rsidRPr="00E67A43">
        <w:rPr>
          <w:u w:val="single"/>
        </w:rPr>
        <w:t xml:space="preserve">roblèmes </w:t>
      </w:r>
    </w:p>
    <w:p w14:paraId="7F8B65AC" w14:textId="77777777" w:rsidR="00D72A67" w:rsidRDefault="00D72A67" w:rsidP="00120DD5">
      <w:pPr>
        <w:jc w:val="both"/>
      </w:pPr>
    </w:p>
    <w:p w14:paraId="7E5545B3" w14:textId="7CAFDA2B" w:rsidR="00DE3755" w:rsidRDefault="00E67A43" w:rsidP="005E722F">
      <w:pPr>
        <w:jc w:val="both"/>
      </w:pPr>
      <w:r>
        <w:rPr>
          <w:b/>
        </w:rPr>
        <w:t>8</w:t>
      </w:r>
      <w:r w:rsidR="00650B1B" w:rsidRPr="00650B1B">
        <w:rPr>
          <w:b/>
        </w:rPr>
        <w:t xml:space="preserve">. </w:t>
      </w:r>
      <w:r w:rsidR="00B9370A">
        <w:rPr>
          <w:b/>
        </w:rPr>
        <w:t>–</w:t>
      </w:r>
      <w:r w:rsidR="00650B1B" w:rsidRPr="00650B1B">
        <w:rPr>
          <w:b/>
        </w:rPr>
        <w:t xml:space="preserve"> </w:t>
      </w:r>
      <w:r w:rsidR="00B9370A">
        <w:rPr>
          <w:b/>
        </w:rPr>
        <w:t>Un double problème</w:t>
      </w:r>
      <w:r w:rsidR="00650B1B" w:rsidRPr="00650B1B">
        <w:rPr>
          <w:b/>
        </w:rPr>
        <w:t>.</w:t>
      </w:r>
      <w:r w:rsidR="00650B1B">
        <w:t xml:space="preserve"> </w:t>
      </w:r>
      <w:r w:rsidR="00DE3755">
        <w:t>Chacune des conditions de formation des contrats a suscité, depuis 1804, de</w:t>
      </w:r>
      <w:r w:rsidR="00052D08">
        <w:t>s</w:t>
      </w:r>
      <w:r w:rsidR="00DE3755">
        <w:t xml:space="preserve"> controverses d’ordres divers et il ne rentre pas dans l’ambition de cette contribution de s’y plonger. Il nous semble que deux problèmes principaux </w:t>
      </w:r>
      <w:r w:rsidR="00C00AC4">
        <w:t>imposent aujourd’hui</w:t>
      </w:r>
      <w:r w:rsidR="00052D08">
        <w:t xml:space="preserve"> de repenser</w:t>
      </w:r>
      <w:r w:rsidR="00C00AC4">
        <w:t>, à droit constant,</w:t>
      </w:r>
      <w:r w:rsidR="00052D08">
        <w:t xml:space="preserve"> notre théorie des nullités : d’une part, la multiplication des législations particulières considérées</w:t>
      </w:r>
      <w:r w:rsidR="00B9370A">
        <w:t>, à tort ou à raison,</w:t>
      </w:r>
      <w:r w:rsidR="00052D08">
        <w:t xml:space="preserve"> comme étant d’ordre public et, d’autre </w:t>
      </w:r>
      <w:r w:rsidR="00052D08">
        <w:lastRenderedPageBreak/>
        <w:t>part, et ce problème n’est pas neuf mais est accentué par le premier, l’automaticité</w:t>
      </w:r>
      <w:r w:rsidR="00C00AC4">
        <w:t xml:space="preserve"> (alléguée)</w:t>
      </w:r>
      <w:r w:rsidR="00052D08">
        <w:t xml:space="preserve"> de la</w:t>
      </w:r>
      <w:r w:rsidR="00B9370A">
        <w:t xml:space="preserve"> sanction de la nullité absolue lorsque l’ordre public est atteint.</w:t>
      </w:r>
      <w:r w:rsidR="00052D08">
        <w:t xml:space="preserve"> </w:t>
      </w:r>
    </w:p>
    <w:p w14:paraId="739D1775" w14:textId="77777777" w:rsidR="00052D08" w:rsidRDefault="00052D08" w:rsidP="005E722F">
      <w:pPr>
        <w:jc w:val="both"/>
      </w:pPr>
    </w:p>
    <w:p w14:paraId="039453F4" w14:textId="47B27CD9" w:rsidR="00E40218" w:rsidRDefault="00052D08" w:rsidP="004818F9">
      <w:pPr>
        <w:jc w:val="both"/>
      </w:pPr>
      <w:r>
        <w:t xml:space="preserve">Parmi ces législations, certaines fixent </w:t>
      </w:r>
      <w:r w:rsidR="00B9370A">
        <w:t>des</w:t>
      </w:r>
      <w:r>
        <w:t xml:space="preserve"> conditions</w:t>
      </w:r>
      <w:r w:rsidR="00C00AC4">
        <w:t xml:space="preserve"> particulières</w:t>
      </w:r>
      <w:r>
        <w:t xml:space="preserve"> p</w:t>
      </w:r>
      <w:r w:rsidR="00C00AC4">
        <w:t xml:space="preserve">our la formation d’un contrat. Il est impossible d’en faire ici un </w:t>
      </w:r>
      <w:r w:rsidR="004818F9">
        <w:t>relevé</w:t>
      </w:r>
      <w:r w:rsidR="00C00AC4">
        <w:t xml:space="preserve"> exhaustif mais plusieurs </w:t>
      </w:r>
      <w:r w:rsidR="00B9370A">
        <w:t xml:space="preserve">d’entre elles </w:t>
      </w:r>
      <w:r w:rsidR="00C00AC4">
        <w:t xml:space="preserve">émergeront tout au long de cette contribution et de cet ouvrage. D’autres législations </w:t>
      </w:r>
      <w:r>
        <w:t>ne fix</w:t>
      </w:r>
      <w:r w:rsidR="00C00AC4">
        <w:t>ent</w:t>
      </w:r>
      <w:r w:rsidR="00B9370A">
        <w:t xml:space="preserve"> pas de telles conditions mais la simple circonstance que leur violation soit recherchée (cause</w:t>
      </w:r>
      <w:r w:rsidR="00C46D86">
        <w:t xml:space="preserve"> illicite</w:t>
      </w:r>
      <w:r w:rsidR="00B9370A">
        <w:t>) ou obtenue (objet</w:t>
      </w:r>
      <w:r w:rsidR="00C46D86">
        <w:t xml:space="preserve"> illicite</w:t>
      </w:r>
      <w:r w:rsidR="00B9370A">
        <w:t xml:space="preserve">) par la conclusion d’un contrat </w:t>
      </w:r>
      <w:r w:rsidR="00C46D86">
        <w:t>menace la validité de celui-ci</w:t>
      </w:r>
      <w:r w:rsidR="004818F9">
        <w:t xml:space="preserve">. </w:t>
      </w:r>
    </w:p>
    <w:p w14:paraId="29CACB8C" w14:textId="77777777" w:rsidR="004818F9" w:rsidRPr="004818F9" w:rsidRDefault="004818F9" w:rsidP="00D671D5">
      <w:pPr>
        <w:jc w:val="both"/>
      </w:pPr>
    </w:p>
    <w:p w14:paraId="66A4ABBC" w14:textId="19003AE8" w:rsidR="00E40218" w:rsidRPr="00FE74D6" w:rsidRDefault="00E67A43" w:rsidP="00FE74D6">
      <w:pPr>
        <w:jc w:val="both"/>
        <w:rPr>
          <w:rFonts w:ascii="Times New Roman" w:hAnsi="Times New Roman"/>
          <w:lang w:val="fr-BE"/>
        </w:rPr>
      </w:pPr>
      <w:r>
        <w:rPr>
          <w:rFonts w:ascii="Times New Roman" w:eastAsia="Times New Roman"/>
          <w:b/>
        </w:rPr>
        <w:t>9</w:t>
      </w:r>
      <w:r w:rsidR="00650B1B" w:rsidRPr="00650B1B">
        <w:rPr>
          <w:rFonts w:ascii="Times New Roman" w:eastAsia="Times New Roman"/>
          <w:b/>
        </w:rPr>
        <w:t xml:space="preserve">. </w:t>
      </w:r>
      <w:r w:rsidR="00650B1B" w:rsidRPr="00650B1B">
        <w:rPr>
          <w:rFonts w:ascii="Times New Roman" w:eastAsia="Times New Roman"/>
          <w:b/>
        </w:rPr>
        <w:t>–</w:t>
      </w:r>
      <w:r w:rsidR="00650B1B" w:rsidRPr="00650B1B">
        <w:rPr>
          <w:rFonts w:ascii="Times New Roman" w:eastAsia="Times New Roman"/>
          <w:b/>
        </w:rPr>
        <w:t xml:space="preserve"> La cause illic</w:t>
      </w:r>
      <w:r w:rsidR="00650B1B">
        <w:rPr>
          <w:rFonts w:ascii="Times New Roman" w:eastAsia="Times New Roman"/>
          <w:b/>
        </w:rPr>
        <w:t>i</w:t>
      </w:r>
      <w:r w:rsidR="00650B1B" w:rsidRPr="00650B1B">
        <w:rPr>
          <w:rFonts w:ascii="Times New Roman" w:eastAsia="Times New Roman"/>
          <w:b/>
        </w:rPr>
        <w:t xml:space="preserve">te. </w:t>
      </w:r>
      <w:r w:rsidR="004818F9">
        <w:rPr>
          <w:rFonts w:ascii="Times New Roman" w:eastAsia="Times New Roman"/>
        </w:rPr>
        <w:t>S</w:t>
      </w:r>
      <w:r w:rsidR="00E40218">
        <w:rPr>
          <w:rFonts w:ascii="Times New Roman" w:eastAsia="Times New Roman"/>
        </w:rPr>
        <w:t xml:space="preserve">i on rejoint la </w:t>
      </w:r>
      <w:r w:rsidR="00D671D5">
        <w:t>doctrine quasi-unanime</w:t>
      </w:r>
      <w:r w:rsidR="00E40218" w:rsidRPr="001B0FC3">
        <w:rPr>
          <w:rStyle w:val="Marquenotebasdepage"/>
          <w:rFonts w:ascii="Times New Roman" w:hAnsi="Times New Roman"/>
          <w:lang w:val="fr-BE"/>
        </w:rPr>
        <w:footnoteReference w:id="20"/>
      </w:r>
      <w:r w:rsidR="00E40218">
        <w:t xml:space="preserve"> et la jurisprudence de la Cour de cassation</w:t>
      </w:r>
      <w:r w:rsidR="00E40218">
        <w:rPr>
          <w:rStyle w:val="Marquenotebasdepage"/>
          <w:rFonts w:ascii="Times New Roman" w:hAnsi="Times New Roman"/>
          <w:lang w:val="fr-BE"/>
        </w:rPr>
        <w:footnoteReference w:id="21"/>
      </w:r>
      <w:r w:rsidR="004818F9">
        <w:t xml:space="preserve">, </w:t>
      </w:r>
      <w:r w:rsidR="00FE74D6">
        <w:t xml:space="preserve">qui considèrent que </w:t>
      </w:r>
      <w:r w:rsidR="00C46D86">
        <w:t>cette</w:t>
      </w:r>
      <w:r w:rsidR="00D671D5">
        <w:t xml:space="preserve"> notion </w:t>
      </w:r>
      <w:r w:rsidR="00D671D5">
        <w:rPr>
          <w:rFonts w:ascii="Times New Roman" w:hAnsi="Times New Roman"/>
          <w:lang w:val="fr-BE"/>
        </w:rPr>
        <w:t>vise les « mobiles déterminants » qui ont poussé les parties à conclure l’acte juridique</w:t>
      </w:r>
      <w:r w:rsidR="00FE74D6">
        <w:rPr>
          <w:rFonts w:ascii="Times New Roman" w:hAnsi="Times New Roman"/>
          <w:lang w:val="fr-BE"/>
        </w:rPr>
        <w:t xml:space="preserve">, il ne sera guère aisé de rapporter la preuve de la cause illicite. </w:t>
      </w:r>
      <w:r w:rsidR="00E40218">
        <w:rPr>
          <w:rFonts w:ascii="Times New Roman" w:hAnsi="Times New Roman"/>
          <w:lang w:val="fr-BE"/>
        </w:rPr>
        <w:t xml:space="preserve">L’affectation au logement d’un bien </w:t>
      </w:r>
      <w:r w:rsidR="00E40218">
        <w:rPr>
          <w:rFonts w:ascii="Times New Roman" w:hAnsi="Times New Roman"/>
        </w:rPr>
        <w:t>en violation des normes minimales d’habitabilité a sans doute pour effet de créer ou maintenir une situation illicite mais cela n’implique pas nécessairement qu’une telle situation était le but recherché par les bailleurs, sauf dans le cas des marchands de sommeil</w:t>
      </w:r>
      <w:r w:rsidR="00E40218">
        <w:rPr>
          <w:rStyle w:val="Marquenotebasdepage"/>
          <w:rFonts w:ascii="Times New Roman" w:hAnsi="Times New Roman"/>
        </w:rPr>
        <w:footnoteReference w:id="22"/>
      </w:r>
      <w:r w:rsidR="00E40218">
        <w:rPr>
          <w:rFonts w:ascii="Times New Roman" w:hAnsi="Times New Roman"/>
        </w:rPr>
        <w:t>.</w:t>
      </w:r>
    </w:p>
    <w:p w14:paraId="297ECB74" w14:textId="40097B0B" w:rsidR="00D671D5" w:rsidRPr="00E40218" w:rsidRDefault="00D671D5" w:rsidP="00D671D5">
      <w:pPr>
        <w:jc w:val="both"/>
      </w:pPr>
    </w:p>
    <w:p w14:paraId="1D766020" w14:textId="74D20079" w:rsidR="0091624B" w:rsidRDefault="00E67A43" w:rsidP="007B6ABA">
      <w:pPr>
        <w:jc w:val="both"/>
      </w:pPr>
      <w:r>
        <w:rPr>
          <w:rFonts w:ascii="Times New Roman" w:eastAsia="Times New Roman"/>
          <w:b/>
        </w:rPr>
        <w:t>10</w:t>
      </w:r>
      <w:r w:rsidR="00650B1B" w:rsidRPr="00650B1B">
        <w:rPr>
          <w:rFonts w:ascii="Times New Roman" w:eastAsia="Times New Roman"/>
          <w:b/>
        </w:rPr>
        <w:t xml:space="preserve">. </w:t>
      </w:r>
      <w:r w:rsidR="00650B1B" w:rsidRPr="00650B1B">
        <w:rPr>
          <w:rFonts w:ascii="Times New Roman" w:eastAsia="Times New Roman"/>
          <w:b/>
        </w:rPr>
        <w:t>–</w:t>
      </w:r>
      <w:r w:rsidR="00650B1B" w:rsidRPr="00650B1B">
        <w:rPr>
          <w:rFonts w:ascii="Times New Roman" w:eastAsia="Times New Roman"/>
          <w:b/>
        </w:rPr>
        <w:t xml:space="preserve"> L</w:t>
      </w:r>
      <w:r w:rsidR="00650B1B" w:rsidRPr="00650B1B">
        <w:rPr>
          <w:rFonts w:ascii="Times New Roman" w:eastAsia="Times New Roman"/>
          <w:b/>
        </w:rPr>
        <w:t>’</w:t>
      </w:r>
      <w:r w:rsidR="00650B1B" w:rsidRPr="00650B1B">
        <w:rPr>
          <w:rFonts w:ascii="Times New Roman" w:eastAsia="Times New Roman"/>
          <w:b/>
        </w:rPr>
        <w:t xml:space="preserve">objet illicite. </w:t>
      </w:r>
      <w:r w:rsidR="00D671D5">
        <w:rPr>
          <w:rFonts w:ascii="Times New Roman" w:eastAsia="Times New Roman"/>
        </w:rPr>
        <w:t>Le contentieux le plus important susceptible de r</w:t>
      </w:r>
      <w:r w:rsidR="00D671D5">
        <w:rPr>
          <w:rFonts w:ascii="Times New Roman" w:eastAsia="Times New Roman"/>
        </w:rPr>
        <w:t>é</w:t>
      </w:r>
      <w:r w:rsidR="00D671D5">
        <w:rPr>
          <w:rFonts w:ascii="Times New Roman" w:eastAsia="Times New Roman"/>
        </w:rPr>
        <w:t>sulter de l</w:t>
      </w:r>
      <w:r w:rsidR="00D671D5">
        <w:rPr>
          <w:rFonts w:ascii="Times New Roman" w:eastAsia="Times New Roman"/>
        </w:rPr>
        <w:t>’</w:t>
      </w:r>
      <w:r w:rsidR="00D671D5">
        <w:rPr>
          <w:rFonts w:ascii="Times New Roman" w:eastAsia="Times New Roman"/>
        </w:rPr>
        <w:t>augmentation de ces l</w:t>
      </w:r>
      <w:r w:rsidR="00D671D5">
        <w:rPr>
          <w:rFonts w:ascii="Times New Roman" w:eastAsia="Times New Roman"/>
        </w:rPr>
        <w:t>é</w:t>
      </w:r>
      <w:r w:rsidR="00D671D5">
        <w:rPr>
          <w:rFonts w:ascii="Times New Roman" w:eastAsia="Times New Roman"/>
        </w:rPr>
        <w:t xml:space="preserve">gislations tient cependant </w:t>
      </w:r>
      <w:r w:rsidR="00D671D5">
        <w:rPr>
          <w:rFonts w:ascii="Times New Roman" w:eastAsia="Times New Roman"/>
        </w:rPr>
        <w:t>à</w:t>
      </w:r>
      <w:r w:rsidR="00D671D5">
        <w:rPr>
          <w:rFonts w:ascii="Times New Roman" w:eastAsia="Times New Roman"/>
        </w:rPr>
        <w:t xml:space="preserve"> la notion d</w:t>
      </w:r>
      <w:r w:rsidR="00D671D5">
        <w:rPr>
          <w:rFonts w:ascii="Times New Roman" w:eastAsia="Times New Roman"/>
        </w:rPr>
        <w:t>’</w:t>
      </w:r>
      <w:r w:rsidR="00FC1E3E">
        <w:rPr>
          <w:rFonts w:ascii="Times New Roman" w:eastAsia="Times New Roman"/>
        </w:rPr>
        <w:t>objet illicite, telle qu</w:t>
      </w:r>
      <w:r w:rsidR="00FC1E3E">
        <w:rPr>
          <w:rFonts w:ascii="Times New Roman" w:eastAsia="Times New Roman"/>
        </w:rPr>
        <w:t>’</w:t>
      </w:r>
      <w:r w:rsidR="00FC1E3E">
        <w:rPr>
          <w:rFonts w:ascii="Times New Roman" w:eastAsia="Times New Roman"/>
        </w:rPr>
        <w:t>elle est d</w:t>
      </w:r>
      <w:r w:rsidR="00FC1E3E">
        <w:rPr>
          <w:rFonts w:ascii="Times New Roman" w:eastAsia="Times New Roman"/>
        </w:rPr>
        <w:t>é</w:t>
      </w:r>
      <w:r w:rsidR="00FC1E3E">
        <w:rPr>
          <w:rFonts w:ascii="Times New Roman" w:eastAsia="Times New Roman"/>
        </w:rPr>
        <w:t>finie par la Cour de cassation depuis plusieurs ann</w:t>
      </w:r>
      <w:r w:rsidR="00FC1E3E">
        <w:rPr>
          <w:rFonts w:ascii="Times New Roman" w:eastAsia="Times New Roman"/>
        </w:rPr>
        <w:t>é</w:t>
      </w:r>
      <w:r w:rsidR="00FC1E3E">
        <w:rPr>
          <w:rFonts w:ascii="Times New Roman" w:eastAsia="Times New Roman"/>
        </w:rPr>
        <w:t>es</w:t>
      </w:r>
      <w:r w:rsidR="00FE74D6">
        <w:rPr>
          <w:rStyle w:val="Marquenotebasdepage"/>
          <w:rFonts w:ascii="Times New Roman" w:eastAsia="Times New Roman"/>
        </w:rPr>
        <w:footnoteReference w:id="23"/>
      </w:r>
      <w:r w:rsidR="00FC1E3E">
        <w:rPr>
          <w:rFonts w:ascii="Times New Roman" w:eastAsia="Times New Roman"/>
        </w:rPr>
        <w:t xml:space="preserve">. </w:t>
      </w:r>
      <w:r w:rsidR="0091624B">
        <w:rPr>
          <w:rFonts w:ascii="Times New Roman" w:eastAsia="Times New Roman"/>
        </w:rPr>
        <w:t>Selon la haute juridiction, une convention est frapp</w:t>
      </w:r>
      <w:r w:rsidR="0091624B">
        <w:rPr>
          <w:rFonts w:ascii="Times New Roman" w:eastAsia="Times New Roman"/>
        </w:rPr>
        <w:t>é</w:t>
      </w:r>
      <w:r w:rsidR="0091624B">
        <w:rPr>
          <w:rFonts w:ascii="Times New Roman" w:eastAsia="Times New Roman"/>
        </w:rPr>
        <w:t>e de nullit</w:t>
      </w:r>
      <w:r w:rsidR="0091624B">
        <w:rPr>
          <w:rFonts w:ascii="Times New Roman" w:eastAsia="Times New Roman"/>
        </w:rPr>
        <w:t>é</w:t>
      </w:r>
      <w:r w:rsidR="0091624B">
        <w:rPr>
          <w:rFonts w:ascii="Times New Roman" w:eastAsia="Times New Roman"/>
        </w:rPr>
        <w:t xml:space="preserve"> absolue lorsqu</w:t>
      </w:r>
      <w:r w:rsidR="003268A5">
        <w:rPr>
          <w:rFonts w:ascii="Times New Roman" w:eastAsia="Times New Roman"/>
        </w:rPr>
        <w:t>e son objet</w:t>
      </w:r>
      <w:r w:rsidR="0091624B">
        <w:rPr>
          <w:rFonts w:ascii="Times New Roman" w:eastAsia="Times New Roman"/>
        </w:rPr>
        <w:t xml:space="preserve"> </w:t>
      </w:r>
      <w:r w:rsidR="00FC1E3E">
        <w:t>« </w:t>
      </w:r>
      <w:r w:rsidR="00FC1E3E" w:rsidRPr="006E597A">
        <w:t>crée ou maintient une situation illégale</w:t>
      </w:r>
      <w:r w:rsidR="00FC1E3E">
        <w:t> »</w:t>
      </w:r>
      <w:r w:rsidR="00FC1E3E">
        <w:rPr>
          <w:rStyle w:val="Marquenotebasdepage"/>
        </w:rPr>
        <w:footnoteReference w:id="24"/>
      </w:r>
      <w:r w:rsidR="00FC1E3E">
        <w:t xml:space="preserve">. </w:t>
      </w:r>
      <w:r w:rsidR="008B0319">
        <w:t>Ainsi, la mise en location d’un bien qui a été construit sans permis ne crée ni ne maintient une situation illicite pour cette seule raison et il ne s’agit donc pas d’une cause d’annulabilité du contrat de bail portant sur ce bien, à tout le moins du point de vue son objet</w:t>
      </w:r>
      <w:r w:rsidR="008B0319">
        <w:rPr>
          <w:rStyle w:val="Marquenotebasdepage"/>
        </w:rPr>
        <w:footnoteReference w:id="25"/>
      </w:r>
      <w:r w:rsidR="008B0319">
        <w:t>. On peut toutefois se demander s’il n’en va pas différemment de l’infraction, distincte,</w:t>
      </w:r>
      <w:r w:rsidR="008B0319" w:rsidRPr="00154026">
        <w:t xml:space="preserve"> </w:t>
      </w:r>
      <w:r w:rsidR="008B0319">
        <w:t>de maintien de travaux exécutés sans permis</w:t>
      </w:r>
      <w:r w:rsidR="008B0319">
        <w:rPr>
          <w:rStyle w:val="Marquenotebasdepage"/>
        </w:rPr>
        <w:footnoteReference w:id="26"/>
      </w:r>
      <w:r w:rsidR="008B0319">
        <w:t xml:space="preserve">. En effet, l’obligation du bailleur de garantir la </w:t>
      </w:r>
      <w:r w:rsidR="008B0319">
        <w:lastRenderedPageBreak/>
        <w:t>jouissance paisible du bien à son locataire lui impose de ne pas faire détruire le bien et, par conséquent, le contraint, par la conclusion du contrat, à maintenir une situation illicite</w:t>
      </w:r>
      <w:r w:rsidR="008B0319" w:rsidRPr="001B0FC3">
        <w:rPr>
          <w:rStyle w:val="Marquenotebasdepage"/>
          <w:rFonts w:ascii="Times New Roman" w:hAnsi="Times New Roman"/>
        </w:rPr>
        <w:footnoteReference w:id="27"/>
      </w:r>
      <w:r w:rsidR="008B0319">
        <w:t xml:space="preserve">. </w:t>
      </w:r>
    </w:p>
    <w:p w14:paraId="303F784F" w14:textId="77777777" w:rsidR="0091624B" w:rsidRDefault="0091624B" w:rsidP="007B6ABA">
      <w:pPr>
        <w:jc w:val="both"/>
      </w:pPr>
    </w:p>
    <w:p w14:paraId="3BA8A935" w14:textId="083E23AB" w:rsidR="00957FEE" w:rsidRDefault="00822A20" w:rsidP="007B6ABA">
      <w:pPr>
        <w:jc w:val="both"/>
        <w:rPr>
          <w:rFonts w:ascii="Times New Roman" w:eastAsia="Calibri"/>
        </w:rPr>
      </w:pPr>
      <w:r>
        <w:t xml:space="preserve">De même, </w:t>
      </w:r>
      <w:r w:rsidR="00CE3561">
        <w:t xml:space="preserve">lorsqu’une disposition subordonne, comme </w:t>
      </w:r>
      <w:r w:rsidR="00CE3561">
        <w:rPr>
          <w:rFonts w:ascii="Times New Roman" w:hAnsi="Times New Roman"/>
          <w:lang w:val="fr-BE"/>
        </w:rPr>
        <w:t>l</w:t>
      </w:r>
      <w:r w:rsidR="00CE3561" w:rsidRPr="009628A4">
        <w:rPr>
          <w:rFonts w:ascii="Times New Roman" w:hAnsi="Times New Roman"/>
          <w:lang w:val="fr-BE"/>
        </w:rPr>
        <w:t xml:space="preserve">’article 5 du Code </w:t>
      </w:r>
      <w:r w:rsidR="00CE3561">
        <w:rPr>
          <w:rFonts w:ascii="Times New Roman" w:hAnsi="Times New Roman"/>
          <w:lang w:val="fr-BE"/>
        </w:rPr>
        <w:t>bruxellois du logement, la mise</w:t>
      </w:r>
      <w:r w:rsidR="00CE3561" w:rsidRPr="009628A4">
        <w:rPr>
          <w:rFonts w:ascii="Times New Roman" w:hAnsi="Times New Roman"/>
          <w:lang w:val="fr-BE"/>
        </w:rPr>
        <w:t xml:space="preserve"> en location</w:t>
      </w:r>
      <w:r w:rsidR="00CE3561">
        <w:rPr>
          <w:rFonts w:ascii="Times New Roman" w:hAnsi="Times New Roman"/>
          <w:lang w:val="fr-BE"/>
        </w:rPr>
        <w:t xml:space="preserve"> de</w:t>
      </w:r>
      <w:r w:rsidR="00CE3561" w:rsidRPr="009628A4">
        <w:rPr>
          <w:rFonts w:ascii="Times New Roman" w:hAnsi="Times New Roman"/>
          <w:lang w:val="fr-BE"/>
        </w:rPr>
        <w:t xml:space="preserve"> logements </w:t>
      </w:r>
      <w:r w:rsidR="00CE3561">
        <w:rPr>
          <w:rFonts w:ascii="Times New Roman" w:hAnsi="Times New Roman"/>
          <w:lang w:val="fr-BE"/>
        </w:rPr>
        <w:t xml:space="preserve">au respect des </w:t>
      </w:r>
      <w:r w:rsidR="00CE3561" w:rsidRPr="009628A4">
        <w:rPr>
          <w:rFonts w:ascii="Times New Roman" w:hAnsi="Times New Roman"/>
          <w:lang w:val="fr-BE"/>
        </w:rPr>
        <w:t xml:space="preserve">exigences </w:t>
      </w:r>
      <w:r w:rsidR="00CE3561">
        <w:t>élémentaires de salubrité, de sécurité et d’habitabilité que ce code consacre</w:t>
      </w:r>
      <w:r w:rsidR="00CE3561" w:rsidRPr="009628A4">
        <w:rPr>
          <w:rFonts w:ascii="Times New Roman" w:hAnsi="Times New Roman"/>
          <w:lang w:val="fr-BE"/>
        </w:rPr>
        <w:t>, sous peine des sanctions prévues aux articles 8 (interdiction de louer, le cas échéant accompagnée de la pose de scellés) et 10 (amendes administratives)</w:t>
      </w:r>
      <w:r w:rsidR="00CE3561">
        <w:rPr>
          <w:rFonts w:ascii="Times New Roman" w:hAnsi="Times New Roman"/>
          <w:lang w:val="fr-BE"/>
        </w:rPr>
        <w:t xml:space="preserve">, </w:t>
      </w:r>
      <w:r w:rsidR="00CE3561">
        <w:t xml:space="preserve">la conclusion du contrat de bail relatif à un bien qui ne répond pas à ces exigences </w:t>
      </w:r>
      <w:r w:rsidR="00CA177F">
        <w:t>entraîne</w:t>
      </w:r>
      <w:r w:rsidR="00CE3561">
        <w:t xml:space="preserve"> la violation de ces dispositions. Par ailleurs, </w:t>
      </w:r>
      <w:r>
        <w:t xml:space="preserve">si la vente d’un immeuble construit sans permis n’a pas nécessairement un objet illicite, il en va différemment de la vente d’un lot issu de la division d’un terrain en violation d’une disposition qui interdit de lotir un terrain sans permis </w:t>
      </w:r>
      <w:r w:rsidRPr="00822A20">
        <w:t>préalable</w:t>
      </w:r>
      <w:r w:rsidR="00704B16">
        <w:rPr>
          <w:rFonts w:ascii="Times New Roman" w:eastAsia="Times New Roman"/>
          <w:vertAlign w:val="superscript"/>
        </w:rPr>
        <w:footnoteReference w:id="28"/>
      </w:r>
      <w:r w:rsidR="00704B16">
        <w:rPr>
          <w:rFonts w:ascii="Times New Roman" w:eastAsia="Calibri"/>
        </w:rPr>
        <w:t>.</w:t>
      </w:r>
      <w:r w:rsidR="00CE3561">
        <w:rPr>
          <w:rFonts w:ascii="Times New Roman" w:eastAsia="Calibri"/>
        </w:rPr>
        <w:t xml:space="preserve"> </w:t>
      </w:r>
      <w:r w:rsidR="00CA177F">
        <w:rPr>
          <w:rFonts w:ascii="Times New Roman" w:eastAsia="Calibri"/>
        </w:rPr>
        <w:t>A suivre l</w:t>
      </w:r>
      <w:r w:rsidR="00CA177F">
        <w:rPr>
          <w:rFonts w:ascii="Times New Roman" w:eastAsia="Calibri"/>
        </w:rPr>
        <w:t>’</w:t>
      </w:r>
      <w:r w:rsidR="00CA177F">
        <w:rPr>
          <w:rFonts w:ascii="Times New Roman" w:eastAsia="Calibri"/>
        </w:rPr>
        <w:t>opinion majoritaire, c</w:t>
      </w:r>
      <w:r w:rsidR="00CE3561">
        <w:rPr>
          <w:rFonts w:ascii="Times New Roman" w:eastAsia="Calibri"/>
        </w:rPr>
        <w:t>r</w:t>
      </w:r>
      <w:r w:rsidR="00CE3561">
        <w:rPr>
          <w:rFonts w:ascii="Times New Roman" w:eastAsia="Calibri"/>
        </w:rPr>
        <w:t>é</w:t>
      </w:r>
      <w:r w:rsidR="00CE3561">
        <w:rPr>
          <w:rFonts w:ascii="Times New Roman" w:eastAsia="Calibri"/>
        </w:rPr>
        <w:t xml:space="preserve">ent </w:t>
      </w:r>
      <w:r w:rsidR="00CE3561">
        <w:rPr>
          <w:rFonts w:ascii="Times New Roman" w:eastAsia="Calibri"/>
        </w:rPr>
        <w:t>é</w:t>
      </w:r>
      <w:r w:rsidR="00CE3561">
        <w:rPr>
          <w:rFonts w:ascii="Times New Roman" w:eastAsia="Calibri"/>
        </w:rPr>
        <w:t>galement une situation illicite les contrats conclus en violation de la l</w:t>
      </w:r>
      <w:r w:rsidR="00CE3561">
        <w:rPr>
          <w:rFonts w:ascii="Times New Roman" w:eastAsia="Calibri"/>
        </w:rPr>
        <w:t>é</w:t>
      </w:r>
      <w:r w:rsidR="00CE3561">
        <w:rPr>
          <w:rFonts w:ascii="Times New Roman" w:eastAsia="Calibri"/>
        </w:rPr>
        <w:t xml:space="preserve">gislation </w:t>
      </w:r>
      <w:r w:rsidR="003268A5">
        <w:rPr>
          <w:rFonts w:ascii="Times New Roman" w:eastAsia="Calibri"/>
        </w:rPr>
        <w:t>relative aux</w:t>
      </w:r>
      <w:r w:rsidR="00CE3561">
        <w:rPr>
          <w:rFonts w:ascii="Times New Roman" w:eastAsia="Calibri"/>
        </w:rPr>
        <w:t xml:space="preserve"> march</w:t>
      </w:r>
      <w:r w:rsidR="00CE3561">
        <w:rPr>
          <w:rFonts w:ascii="Times New Roman" w:eastAsia="Calibri"/>
        </w:rPr>
        <w:t>é</w:t>
      </w:r>
      <w:r w:rsidR="00CE3561">
        <w:rPr>
          <w:rFonts w:ascii="Times New Roman" w:eastAsia="Calibri"/>
        </w:rPr>
        <w:t>s publics</w:t>
      </w:r>
      <w:r w:rsidR="00CD7B80">
        <w:rPr>
          <w:rStyle w:val="Marquenotebasdepage"/>
          <w:rFonts w:ascii="Times New Roman" w:eastAsia="Calibri"/>
        </w:rPr>
        <w:footnoteReference w:id="29"/>
      </w:r>
      <w:r w:rsidR="00CE3561">
        <w:rPr>
          <w:rFonts w:ascii="Times New Roman" w:eastAsia="Calibri"/>
        </w:rPr>
        <w:t xml:space="preserve"> ou </w:t>
      </w:r>
      <w:r w:rsidR="003268A5">
        <w:rPr>
          <w:rFonts w:ascii="Times New Roman" w:eastAsia="Calibri"/>
        </w:rPr>
        <w:t>à</w:t>
      </w:r>
      <w:r w:rsidR="00CE3561">
        <w:rPr>
          <w:rFonts w:ascii="Times New Roman" w:eastAsia="Calibri"/>
        </w:rPr>
        <w:t xml:space="preserve"> l</w:t>
      </w:r>
      <w:r w:rsidR="00CE3561">
        <w:rPr>
          <w:rFonts w:ascii="Times New Roman" w:eastAsia="Calibri"/>
        </w:rPr>
        <w:t>’</w:t>
      </w:r>
      <w:r w:rsidR="00CE3561">
        <w:rPr>
          <w:rFonts w:ascii="Times New Roman" w:eastAsia="Calibri"/>
        </w:rPr>
        <w:t>acc</w:t>
      </w:r>
      <w:r w:rsidR="00CE3561">
        <w:rPr>
          <w:rFonts w:ascii="Times New Roman" w:eastAsia="Calibri"/>
        </w:rPr>
        <w:t>è</w:t>
      </w:r>
      <w:r w:rsidR="00CE3561">
        <w:rPr>
          <w:rFonts w:ascii="Times New Roman" w:eastAsia="Calibri"/>
        </w:rPr>
        <w:t xml:space="preserve">s </w:t>
      </w:r>
      <w:r w:rsidR="00CE3561">
        <w:rPr>
          <w:rFonts w:ascii="Times New Roman" w:eastAsia="Calibri"/>
        </w:rPr>
        <w:t>à</w:t>
      </w:r>
      <w:r w:rsidR="00CA177F">
        <w:rPr>
          <w:rFonts w:ascii="Times New Roman" w:eastAsia="Calibri"/>
        </w:rPr>
        <w:t xml:space="preserve"> la profession</w:t>
      </w:r>
      <w:r w:rsidR="00CA177F">
        <w:rPr>
          <w:rStyle w:val="Marquenotebasdepage"/>
          <w:rFonts w:ascii="Times New Roman" w:eastAsia="Calibri"/>
        </w:rPr>
        <w:footnoteReference w:id="30"/>
      </w:r>
      <w:r w:rsidR="00CA177F">
        <w:rPr>
          <w:rFonts w:ascii="Times New Roman" w:eastAsia="Calibri"/>
        </w:rPr>
        <w:t xml:space="preserve">. </w:t>
      </w:r>
    </w:p>
    <w:p w14:paraId="79B92B99" w14:textId="77777777" w:rsidR="003268A5" w:rsidRDefault="003268A5" w:rsidP="007B6ABA">
      <w:pPr>
        <w:jc w:val="both"/>
        <w:rPr>
          <w:rFonts w:ascii="Times New Roman" w:eastAsia="Calibri"/>
        </w:rPr>
      </w:pPr>
    </w:p>
    <w:p w14:paraId="0FD5C859" w14:textId="251A5151" w:rsidR="003268A5" w:rsidRDefault="003268A5" w:rsidP="00CA7549">
      <w:pPr>
        <w:jc w:val="both"/>
      </w:pPr>
      <w:r>
        <w:rPr>
          <w:rFonts w:ascii="Times New Roman" w:eastAsia="Calibri"/>
        </w:rPr>
        <w:t>Relevons que, dans un arr</w:t>
      </w:r>
      <w:r>
        <w:rPr>
          <w:rFonts w:ascii="Times New Roman" w:eastAsia="Calibri"/>
        </w:rPr>
        <w:t>ê</w:t>
      </w:r>
      <w:r>
        <w:rPr>
          <w:rFonts w:ascii="Times New Roman" w:eastAsia="Calibri"/>
        </w:rPr>
        <w:t>t r</w:t>
      </w:r>
      <w:r>
        <w:rPr>
          <w:rFonts w:ascii="Times New Roman" w:eastAsia="Calibri"/>
        </w:rPr>
        <w:t>é</w:t>
      </w:r>
      <w:r>
        <w:rPr>
          <w:rFonts w:ascii="Times New Roman" w:eastAsia="Calibri"/>
        </w:rPr>
        <w:t>cent, la Cour de cassation a apport</w:t>
      </w:r>
      <w:r>
        <w:rPr>
          <w:rFonts w:ascii="Times New Roman" w:eastAsia="Calibri"/>
        </w:rPr>
        <w:t>é</w:t>
      </w:r>
      <w:r>
        <w:rPr>
          <w:rFonts w:ascii="Times New Roman" w:eastAsia="Calibri"/>
        </w:rPr>
        <w:t xml:space="preserve"> des clarifications et nuances importantes </w:t>
      </w:r>
      <w:r>
        <w:rPr>
          <w:rFonts w:ascii="Times New Roman" w:eastAsia="Calibri"/>
        </w:rPr>
        <w:t>à</w:t>
      </w:r>
      <w:r>
        <w:rPr>
          <w:rFonts w:ascii="Times New Roman" w:eastAsia="Calibri"/>
        </w:rPr>
        <w:t xml:space="preserve"> sa jurisprudence pr</w:t>
      </w:r>
      <w:r>
        <w:rPr>
          <w:rFonts w:ascii="Times New Roman" w:eastAsia="Calibri"/>
        </w:rPr>
        <w:t>é</w:t>
      </w:r>
      <w:r>
        <w:rPr>
          <w:rFonts w:ascii="Times New Roman" w:eastAsia="Calibri"/>
        </w:rPr>
        <w:t>cit</w:t>
      </w:r>
      <w:r>
        <w:rPr>
          <w:rFonts w:ascii="Times New Roman" w:eastAsia="Calibri"/>
        </w:rPr>
        <w:t>é</w:t>
      </w:r>
      <w:r>
        <w:rPr>
          <w:rFonts w:ascii="Times New Roman" w:eastAsia="Calibri"/>
        </w:rPr>
        <w:t>e. Elle a pr</w:t>
      </w:r>
      <w:r>
        <w:rPr>
          <w:rFonts w:ascii="Times New Roman" w:eastAsia="Calibri"/>
        </w:rPr>
        <w:t>é</w:t>
      </w:r>
      <w:r>
        <w:rPr>
          <w:rFonts w:ascii="Times New Roman" w:eastAsia="Calibri"/>
        </w:rPr>
        <w:t>cis</w:t>
      </w:r>
      <w:r>
        <w:rPr>
          <w:rFonts w:ascii="Times New Roman" w:eastAsia="Calibri"/>
        </w:rPr>
        <w:t>é</w:t>
      </w:r>
      <w:r>
        <w:rPr>
          <w:rFonts w:ascii="Times New Roman" w:eastAsia="Calibri"/>
        </w:rPr>
        <w:t>, et c</w:t>
      </w:r>
      <w:r>
        <w:rPr>
          <w:rFonts w:ascii="Times New Roman" w:eastAsia="Calibri"/>
        </w:rPr>
        <w:t>’</w:t>
      </w:r>
      <w:r>
        <w:rPr>
          <w:rFonts w:ascii="Times New Roman" w:eastAsia="Calibri"/>
        </w:rPr>
        <w:t>est logique lorsqu</w:t>
      </w:r>
      <w:r>
        <w:rPr>
          <w:rFonts w:ascii="Times New Roman" w:eastAsia="Calibri"/>
        </w:rPr>
        <w:t>’</w:t>
      </w:r>
      <w:r>
        <w:rPr>
          <w:rFonts w:ascii="Times New Roman" w:eastAsia="Calibri"/>
        </w:rPr>
        <w:t>on parle de nullit</w:t>
      </w:r>
      <w:r>
        <w:rPr>
          <w:rFonts w:ascii="Times New Roman" w:eastAsia="Calibri"/>
        </w:rPr>
        <w:t>é</w:t>
      </w:r>
      <w:r>
        <w:rPr>
          <w:rFonts w:ascii="Times New Roman" w:eastAsia="Calibri"/>
        </w:rPr>
        <w:t xml:space="preserve"> absolue, que l</w:t>
      </w:r>
      <w:r>
        <w:rPr>
          <w:rFonts w:ascii="Times New Roman" w:eastAsia="Calibri"/>
        </w:rPr>
        <w:t>’</w:t>
      </w:r>
      <w:r>
        <w:rPr>
          <w:rFonts w:ascii="Times New Roman" w:eastAsia="Calibri"/>
        </w:rPr>
        <w:t>objet d</w:t>
      </w:r>
      <w:r>
        <w:rPr>
          <w:rFonts w:ascii="Times New Roman" w:eastAsia="Calibri"/>
        </w:rPr>
        <w:t>’</w:t>
      </w:r>
      <w:r>
        <w:rPr>
          <w:rFonts w:ascii="Times New Roman" w:eastAsia="Calibri"/>
        </w:rPr>
        <w:t>une convention n</w:t>
      </w:r>
      <w:r>
        <w:rPr>
          <w:rFonts w:ascii="Times New Roman" w:eastAsia="Calibri"/>
        </w:rPr>
        <w:t>’</w:t>
      </w:r>
      <w:r>
        <w:rPr>
          <w:rFonts w:ascii="Times New Roman" w:eastAsia="Calibri"/>
        </w:rPr>
        <w:t xml:space="preserve">est illicite que </w:t>
      </w:r>
      <w:r>
        <w:t>« si elle oblige à une prestation interdite par une loi d'ordre public ou contraire aux bonnes mœurs »</w:t>
      </w:r>
      <w:r>
        <w:rPr>
          <w:rStyle w:val="Marquenotebasdepage"/>
        </w:rPr>
        <w:footnoteReference w:id="31"/>
      </w:r>
      <w:r>
        <w:t>. Si la prestation n’est interdite que par une règle impérative, la nullité ne pourra donc être que relative</w:t>
      </w:r>
      <w:r>
        <w:rPr>
          <w:rStyle w:val="Marquenotebasdepage"/>
        </w:rPr>
        <w:footnoteReference w:id="32"/>
      </w:r>
      <w:r>
        <w:t xml:space="preserve">. Elle considère par ailleurs que, sauf dispositions légales contraires, « l’infraction à une règle d’ordre public commise lors de la naissance de la convention n’entraîne, en principe, la nullité de la convention que lorsqu’il résulte de cette infraction que l’objet de la convention est illicite ». Il ne s’agit donc plus de vérifier si l’objet d’un contrat </w:t>
      </w:r>
      <w:r w:rsidRPr="006E597A">
        <w:t>crée ou maintient une situation illégale</w:t>
      </w:r>
      <w:r>
        <w:t xml:space="preserve"> mais si une telle situation (plus précisément, une infraction à une règle d’ordre public) </w:t>
      </w:r>
      <w:r w:rsidR="00986522">
        <w:t xml:space="preserve">rend illicite l’objet d’une convention. Il reste à voir si cette jurisprudence se confirme et si ce renversement copernicien dans la formulation </w:t>
      </w:r>
      <w:r w:rsidR="00CA7549">
        <w:t xml:space="preserve">est suivi </w:t>
      </w:r>
      <w:r w:rsidR="00986522">
        <w:t xml:space="preserve">de conséquences dans l’appréciation, en droit, de l’illicéité de l’objet d’une convention. </w:t>
      </w:r>
    </w:p>
    <w:p w14:paraId="0F38EE3F" w14:textId="77777777" w:rsidR="00CD0800" w:rsidRPr="007B6ABA" w:rsidRDefault="00CD0800" w:rsidP="007B6ABA">
      <w:pPr>
        <w:jc w:val="both"/>
      </w:pPr>
    </w:p>
    <w:p w14:paraId="3620C875" w14:textId="570C39AE" w:rsidR="00EA5447" w:rsidRPr="00986522" w:rsidRDefault="00E67A43" w:rsidP="00986522">
      <w:pPr>
        <w:spacing w:after="200"/>
        <w:jc w:val="both"/>
        <w:rPr>
          <w:rFonts w:ascii="Times New Roman" w:eastAsia="Calibri"/>
        </w:rPr>
      </w:pPr>
      <w:r>
        <w:rPr>
          <w:rFonts w:ascii="Times New Roman" w:eastAsia="Calibri"/>
          <w:b/>
        </w:rPr>
        <w:lastRenderedPageBreak/>
        <w:t>11</w:t>
      </w:r>
      <w:r w:rsidR="00650B1B" w:rsidRPr="00650B1B">
        <w:rPr>
          <w:rFonts w:ascii="Times New Roman" w:eastAsia="Calibri"/>
          <w:b/>
        </w:rPr>
        <w:t xml:space="preserve">. </w:t>
      </w:r>
      <w:r w:rsidR="00650B1B" w:rsidRPr="00650B1B">
        <w:rPr>
          <w:rFonts w:ascii="Times New Roman" w:eastAsia="Calibri"/>
          <w:b/>
        </w:rPr>
        <w:t>–</w:t>
      </w:r>
      <w:r w:rsidR="00650B1B" w:rsidRPr="00650B1B">
        <w:rPr>
          <w:rFonts w:ascii="Times New Roman" w:eastAsia="Calibri"/>
          <w:b/>
        </w:rPr>
        <w:t xml:space="preserve"> Des cons</w:t>
      </w:r>
      <w:r w:rsidR="00650B1B" w:rsidRPr="00650B1B">
        <w:rPr>
          <w:rFonts w:ascii="Times New Roman" w:eastAsia="Calibri"/>
          <w:b/>
        </w:rPr>
        <w:t>é</w:t>
      </w:r>
      <w:r w:rsidR="00650B1B" w:rsidRPr="00650B1B">
        <w:rPr>
          <w:rFonts w:ascii="Times New Roman" w:eastAsia="Calibri"/>
          <w:b/>
        </w:rPr>
        <w:t>quences absurdes</w:t>
      </w:r>
      <w:r w:rsidR="00650B1B" w:rsidRPr="00650B1B">
        <w:rPr>
          <w:rFonts w:ascii="Times New Roman" w:eastAsia="Calibri"/>
          <w:b/>
        </w:rPr>
        <w:t> </w:t>
      </w:r>
      <w:r w:rsidR="00650B1B" w:rsidRPr="00650B1B">
        <w:rPr>
          <w:rFonts w:ascii="Times New Roman" w:eastAsia="Calibri"/>
          <w:b/>
        </w:rPr>
        <w:t xml:space="preserve">? </w:t>
      </w:r>
      <w:r w:rsidR="003F06AA">
        <w:rPr>
          <w:rFonts w:ascii="Times New Roman" w:eastAsia="Calibri"/>
        </w:rPr>
        <w:t>Si</w:t>
      </w:r>
      <w:r w:rsidR="00986522">
        <w:rPr>
          <w:rFonts w:ascii="Times New Roman" w:eastAsia="Calibri"/>
        </w:rPr>
        <w:t>, d</w:t>
      </w:r>
      <w:r w:rsidR="00CE3561">
        <w:rPr>
          <w:rFonts w:ascii="Times New Roman" w:eastAsia="Calibri"/>
        </w:rPr>
        <w:t xml:space="preserve">ans </w:t>
      </w:r>
      <w:r w:rsidR="00986522">
        <w:rPr>
          <w:rFonts w:ascii="Times New Roman" w:eastAsia="Calibri"/>
        </w:rPr>
        <w:t>de nombreux</w:t>
      </w:r>
      <w:r w:rsidR="00CE3561">
        <w:rPr>
          <w:rFonts w:ascii="Times New Roman" w:eastAsia="Calibri"/>
        </w:rPr>
        <w:t xml:space="preserve"> cas, la nullit</w:t>
      </w:r>
      <w:r w:rsidR="00CE3561">
        <w:rPr>
          <w:rFonts w:ascii="Times New Roman" w:eastAsia="Calibri"/>
        </w:rPr>
        <w:t>é</w:t>
      </w:r>
      <w:r w:rsidR="00CE3561">
        <w:rPr>
          <w:rFonts w:ascii="Times New Roman" w:eastAsia="Calibri"/>
        </w:rPr>
        <w:t xml:space="preserve"> absolue prononc</w:t>
      </w:r>
      <w:r w:rsidR="00CE3561">
        <w:rPr>
          <w:rFonts w:ascii="Times New Roman" w:eastAsia="Calibri"/>
        </w:rPr>
        <w:t>é</w:t>
      </w:r>
      <w:r w:rsidR="00CE3561">
        <w:rPr>
          <w:rFonts w:ascii="Times New Roman" w:eastAsia="Calibri"/>
        </w:rPr>
        <w:t>e par le juge viendra ad</w:t>
      </w:r>
      <w:r w:rsidR="00CE3561">
        <w:rPr>
          <w:rFonts w:ascii="Times New Roman" w:eastAsia="Calibri"/>
        </w:rPr>
        <w:t>é</w:t>
      </w:r>
      <w:r w:rsidR="00CE3561">
        <w:rPr>
          <w:rFonts w:ascii="Times New Roman" w:eastAsia="Calibri"/>
        </w:rPr>
        <w:t>quatement sanctionner le contrat conclu en violation d</w:t>
      </w:r>
      <w:r w:rsidR="00CE3561">
        <w:rPr>
          <w:rFonts w:ascii="Times New Roman" w:eastAsia="Calibri"/>
        </w:rPr>
        <w:t>’</w:t>
      </w:r>
      <w:r w:rsidR="00CE3561">
        <w:rPr>
          <w:rFonts w:ascii="Times New Roman" w:eastAsia="Calibri"/>
        </w:rPr>
        <w:t>une r</w:t>
      </w:r>
      <w:r w:rsidR="00CE3561">
        <w:rPr>
          <w:rFonts w:ascii="Times New Roman" w:eastAsia="Calibri"/>
        </w:rPr>
        <w:t>è</w:t>
      </w:r>
      <w:r w:rsidR="00CE3561">
        <w:rPr>
          <w:rFonts w:ascii="Times New Roman" w:eastAsia="Calibri"/>
        </w:rPr>
        <w:t>gle d</w:t>
      </w:r>
      <w:r w:rsidR="00CE3561">
        <w:rPr>
          <w:rFonts w:ascii="Times New Roman" w:eastAsia="Calibri"/>
        </w:rPr>
        <w:t>’</w:t>
      </w:r>
      <w:r w:rsidR="003F06AA">
        <w:rPr>
          <w:rFonts w:ascii="Times New Roman" w:eastAsia="Calibri"/>
        </w:rPr>
        <w:t xml:space="preserve">ordre public, </w:t>
      </w:r>
      <w:r w:rsidR="00986522">
        <w:rPr>
          <w:rFonts w:ascii="Times New Roman" w:eastAsia="Calibri"/>
        </w:rPr>
        <w:t>l</w:t>
      </w:r>
      <w:r w:rsidR="00986522">
        <w:rPr>
          <w:rFonts w:ascii="Times New Roman" w:eastAsia="Calibri"/>
        </w:rPr>
        <w:t>’</w:t>
      </w:r>
      <w:r w:rsidR="00986522">
        <w:rPr>
          <w:rFonts w:ascii="Times New Roman" w:eastAsia="Calibri"/>
        </w:rPr>
        <w:t>automaticit</w:t>
      </w:r>
      <w:r w:rsidR="00986522">
        <w:rPr>
          <w:rFonts w:ascii="Times New Roman" w:eastAsia="Calibri"/>
        </w:rPr>
        <w:t>é</w:t>
      </w:r>
      <w:r w:rsidR="00986522">
        <w:rPr>
          <w:rFonts w:ascii="Times New Roman" w:eastAsia="Calibri"/>
        </w:rPr>
        <w:t xml:space="preserve"> </w:t>
      </w:r>
      <w:r w:rsidR="00CE3561">
        <w:rPr>
          <w:rFonts w:ascii="Times New Roman" w:eastAsia="Calibri"/>
        </w:rPr>
        <w:t>d</w:t>
      </w:r>
      <w:r w:rsidR="00CE3561">
        <w:rPr>
          <w:rFonts w:ascii="Times New Roman" w:eastAsia="Calibri"/>
        </w:rPr>
        <w:t>’</w:t>
      </w:r>
      <w:r w:rsidR="00CE3561">
        <w:rPr>
          <w:rFonts w:ascii="Times New Roman" w:eastAsia="Calibri"/>
        </w:rPr>
        <w:t xml:space="preserve">une telle sanction </w:t>
      </w:r>
      <w:r w:rsidR="00986522">
        <w:rPr>
          <w:rFonts w:ascii="Times New Roman" w:eastAsia="Calibri"/>
        </w:rPr>
        <w:t>peut para</w:t>
      </w:r>
      <w:r w:rsidR="00986522">
        <w:rPr>
          <w:rFonts w:ascii="Times New Roman" w:eastAsia="Calibri"/>
        </w:rPr>
        <w:t>î</w:t>
      </w:r>
      <w:r w:rsidR="00986522">
        <w:rPr>
          <w:rFonts w:ascii="Times New Roman" w:eastAsia="Calibri"/>
        </w:rPr>
        <w:t>tre inad</w:t>
      </w:r>
      <w:r w:rsidR="00986522">
        <w:rPr>
          <w:rFonts w:ascii="Times New Roman" w:eastAsia="Calibri"/>
        </w:rPr>
        <w:t>é</w:t>
      </w:r>
      <w:r w:rsidR="00986522">
        <w:rPr>
          <w:rFonts w:ascii="Times New Roman" w:eastAsia="Calibri"/>
        </w:rPr>
        <w:t>quate dans certaines situations</w:t>
      </w:r>
      <w:r w:rsidR="00CA7549">
        <w:rPr>
          <w:rStyle w:val="Marquenotebasdepage"/>
          <w:rFonts w:ascii="Times New Roman" w:eastAsia="Calibri"/>
        </w:rPr>
        <w:footnoteReference w:id="33"/>
      </w:r>
      <w:r w:rsidR="00986522">
        <w:rPr>
          <w:rFonts w:ascii="Times New Roman" w:eastAsia="Calibri"/>
        </w:rPr>
        <w:t xml:space="preserve">. </w:t>
      </w:r>
      <w:r w:rsidR="00EA5447">
        <w:t xml:space="preserve">Est-il souhaitable, voire raisonnable </w:t>
      </w:r>
      <w:r w:rsidR="00957FEE">
        <w:t xml:space="preserve">de considérer </w:t>
      </w:r>
      <w:r w:rsidR="00DB7CE4">
        <w:t xml:space="preserve">que </w:t>
      </w:r>
      <w:r w:rsidR="00EA5447">
        <w:t xml:space="preserve">le juge doit, même d’office, prononcer la nullité absolue, le cas échéant </w:t>
      </w:r>
      <w:r w:rsidR="003F06AA">
        <w:t>dix</w:t>
      </w:r>
      <w:r w:rsidR="00EA5447">
        <w:t xml:space="preserve"> ans après sa </w:t>
      </w:r>
      <w:r w:rsidR="00DB7CE4">
        <w:t xml:space="preserve">conclusion </w:t>
      </w:r>
      <w:r w:rsidR="00EA5447">
        <w:t xml:space="preserve">:  </w:t>
      </w:r>
    </w:p>
    <w:p w14:paraId="7AC7DD95" w14:textId="48BD2452" w:rsidR="00EA5447" w:rsidRDefault="00D631D4" w:rsidP="00EA5447">
      <w:pPr>
        <w:pStyle w:val="Paragraphedeliste"/>
        <w:numPr>
          <w:ilvl w:val="0"/>
          <w:numId w:val="7"/>
        </w:numPr>
        <w:jc w:val="both"/>
      </w:pPr>
      <w:r>
        <w:t xml:space="preserve">d’un contrat </w:t>
      </w:r>
      <w:r w:rsidR="00EA5447">
        <w:t xml:space="preserve">de bail portant sur un bien qui </w:t>
      </w:r>
      <w:r w:rsidR="00957FEE">
        <w:t>ne comprenait pas, lors de sa conclusion, une sonnette individuelle</w:t>
      </w:r>
      <w:r w:rsidR="00EA5447">
        <w:rPr>
          <w:rStyle w:val="Marquenotebasdepage"/>
        </w:rPr>
        <w:footnoteReference w:id="34"/>
      </w:r>
      <w:r w:rsidR="00EA5447">
        <w:t xml:space="preserve">,  </w:t>
      </w:r>
    </w:p>
    <w:p w14:paraId="06DC31B5" w14:textId="44904667" w:rsidR="00EA5447" w:rsidRDefault="00D631D4" w:rsidP="00EA5447">
      <w:pPr>
        <w:pStyle w:val="Paragraphedeliste"/>
        <w:numPr>
          <w:ilvl w:val="0"/>
          <w:numId w:val="7"/>
        </w:numPr>
        <w:jc w:val="both"/>
      </w:pPr>
      <w:r>
        <w:t>d’une</w:t>
      </w:r>
      <w:r w:rsidR="00EA5447">
        <w:t xml:space="preserve"> vente d’un lot lorsque le permis de lotir a été octroyé une semaine après le compromis</w:t>
      </w:r>
      <w:r w:rsidR="00016476">
        <w:rPr>
          <w:rStyle w:val="Marquenotebasdepage"/>
        </w:rPr>
        <w:footnoteReference w:id="35"/>
      </w:r>
      <w:r w:rsidR="003F2DC6">
        <w:t xml:space="preserve"> ou, pire, lorsque le permis préalablement obtenu a été annulé par le Conseil d’Etat plusieurs années après la vente</w:t>
      </w:r>
      <w:r w:rsidR="003F2DC6">
        <w:rPr>
          <w:rStyle w:val="Marquenotebasdepage"/>
        </w:rPr>
        <w:footnoteReference w:id="36"/>
      </w:r>
      <w:r w:rsidR="003F2DC6">
        <w:t>,</w:t>
      </w:r>
    </w:p>
    <w:p w14:paraId="50C5FD0B" w14:textId="64C955C7" w:rsidR="00EA5447" w:rsidRDefault="00D631D4" w:rsidP="00EA5447">
      <w:pPr>
        <w:pStyle w:val="Paragraphedeliste"/>
        <w:numPr>
          <w:ilvl w:val="0"/>
          <w:numId w:val="7"/>
        </w:numPr>
        <w:jc w:val="both"/>
      </w:pPr>
      <w:r>
        <w:t xml:space="preserve">d’un contrat </w:t>
      </w:r>
      <w:r w:rsidR="00EA5447">
        <w:t xml:space="preserve">d’entreprise générale lorsque qu’il s’avère que l’entrepreneur, qui a exécuté l’intégralité des travaux à la plus grande satisfaction du maître de l’ouvrage, ne disposait pas de l’accès à la profession </w:t>
      </w:r>
      <w:r>
        <w:t>pour la vitrerie</w:t>
      </w:r>
      <w:r w:rsidR="00CB18B4">
        <w:rPr>
          <w:rStyle w:val="Marquenotebasdepage"/>
        </w:rPr>
        <w:footnoteReference w:id="37"/>
      </w:r>
      <w:r>
        <w:t xml:space="preserve">, </w:t>
      </w:r>
      <w:r w:rsidR="00C50A3F">
        <w:t>même s’il a acquis cet accès avant l’exécution des travaux</w:t>
      </w:r>
      <w:r w:rsidR="00C50A3F">
        <w:rPr>
          <w:rStyle w:val="Marquenotebasdepage"/>
        </w:rPr>
        <w:footnoteReference w:id="38"/>
      </w:r>
      <w:r w:rsidR="00C50A3F">
        <w:t xml:space="preserve">, </w:t>
      </w:r>
    </w:p>
    <w:p w14:paraId="146C6EDB" w14:textId="121F83BA" w:rsidR="00E40347" w:rsidRDefault="00D631D4" w:rsidP="00EA5447">
      <w:pPr>
        <w:pStyle w:val="Paragraphedeliste"/>
        <w:numPr>
          <w:ilvl w:val="0"/>
          <w:numId w:val="7"/>
        </w:numPr>
        <w:jc w:val="both"/>
      </w:pPr>
      <w:r>
        <w:t>d’un marché publ</w:t>
      </w:r>
      <w:r w:rsidR="00E40347">
        <w:t xml:space="preserve">ic passé alors que l’avis de marché ne contenait pas une des </w:t>
      </w:r>
      <w:r w:rsidR="00DB7CE4">
        <w:t>informations exigées par la législation applicable</w:t>
      </w:r>
      <w:r w:rsidR="00DB7CE4" w:rsidRPr="00DB7CE4">
        <w:t xml:space="preserve"> </w:t>
      </w:r>
      <w:r w:rsidR="00DB7CE4">
        <w:t>lorsqu’il est établi que tous les soumissionnaires potentiels en avaient été informés</w:t>
      </w:r>
      <w:r w:rsidR="00DB7CE4">
        <w:rPr>
          <w:rStyle w:val="Marquenotebasdepage"/>
        </w:rPr>
        <w:footnoteReference w:id="39"/>
      </w:r>
      <w:r w:rsidR="00DB7CE4">
        <w:t xml:space="preserve"> ? </w:t>
      </w:r>
    </w:p>
    <w:p w14:paraId="2384A299" w14:textId="77777777" w:rsidR="00D72A67" w:rsidRDefault="00D72A67" w:rsidP="00120DD5">
      <w:pPr>
        <w:jc w:val="both"/>
      </w:pPr>
    </w:p>
    <w:p w14:paraId="1CA91E18" w14:textId="438917BA" w:rsidR="005E722F" w:rsidRPr="00E67A43" w:rsidRDefault="00EB6DDE" w:rsidP="00120DD5">
      <w:pPr>
        <w:jc w:val="both"/>
        <w:rPr>
          <w:u w:val="single"/>
        </w:rPr>
      </w:pPr>
      <w:r w:rsidRPr="00E67A43">
        <w:rPr>
          <w:u w:val="single"/>
        </w:rPr>
        <w:t xml:space="preserve">Section 3. </w:t>
      </w:r>
      <w:r w:rsidR="009B6E9F" w:rsidRPr="00E67A43">
        <w:rPr>
          <w:u w:val="single"/>
        </w:rPr>
        <w:t xml:space="preserve">Les </w:t>
      </w:r>
      <w:r w:rsidR="006B1826">
        <w:rPr>
          <w:u w:val="single"/>
        </w:rPr>
        <w:t>solutions</w:t>
      </w:r>
    </w:p>
    <w:p w14:paraId="1EF442E8" w14:textId="77777777" w:rsidR="005E722F" w:rsidRDefault="005E722F" w:rsidP="00120DD5">
      <w:pPr>
        <w:jc w:val="both"/>
      </w:pPr>
    </w:p>
    <w:p w14:paraId="0FFFA389" w14:textId="2AB31E50" w:rsidR="006B1826" w:rsidRDefault="003F06AA" w:rsidP="003F06AA">
      <w:pPr>
        <w:jc w:val="both"/>
        <w:rPr>
          <w:rFonts w:ascii="Times New Roman" w:eastAsia="Calibri"/>
        </w:rPr>
      </w:pPr>
      <w:r w:rsidRPr="003F06AA">
        <w:rPr>
          <w:rFonts w:ascii="Times New Roman" w:eastAsia="Calibri"/>
          <w:b/>
        </w:rPr>
        <w:t xml:space="preserve">12. - </w:t>
      </w:r>
      <w:r>
        <w:rPr>
          <w:rFonts w:ascii="Times New Roman" w:eastAsia="Calibri"/>
        </w:rPr>
        <w:t>De nombreux auteurs ont soulign</w:t>
      </w:r>
      <w:r>
        <w:rPr>
          <w:rFonts w:ascii="Times New Roman" w:eastAsia="Calibri"/>
        </w:rPr>
        <w:t>é</w:t>
      </w:r>
      <w:r>
        <w:rPr>
          <w:rFonts w:ascii="Times New Roman" w:eastAsia="Calibri"/>
        </w:rPr>
        <w:t xml:space="preserve"> les cons</w:t>
      </w:r>
      <w:r>
        <w:rPr>
          <w:rFonts w:ascii="Times New Roman" w:eastAsia="Calibri"/>
        </w:rPr>
        <w:t>é</w:t>
      </w:r>
      <w:r>
        <w:rPr>
          <w:rFonts w:ascii="Times New Roman" w:eastAsia="Calibri"/>
        </w:rPr>
        <w:t>quences disproportionn</w:t>
      </w:r>
      <w:r>
        <w:rPr>
          <w:rFonts w:ascii="Times New Roman" w:eastAsia="Calibri"/>
        </w:rPr>
        <w:t>é</w:t>
      </w:r>
      <w:r>
        <w:rPr>
          <w:rFonts w:ascii="Times New Roman" w:eastAsia="Calibri"/>
        </w:rPr>
        <w:t>es que peut entra</w:t>
      </w:r>
      <w:r>
        <w:rPr>
          <w:rFonts w:ascii="Times New Roman" w:eastAsia="Calibri"/>
        </w:rPr>
        <w:t>î</w:t>
      </w:r>
      <w:r>
        <w:rPr>
          <w:rFonts w:ascii="Times New Roman" w:eastAsia="Calibri"/>
        </w:rPr>
        <w:t>ner la nullit</w:t>
      </w:r>
      <w:r>
        <w:rPr>
          <w:rFonts w:ascii="Times New Roman" w:eastAsia="Calibri"/>
        </w:rPr>
        <w:t>é</w:t>
      </w:r>
      <w:r>
        <w:rPr>
          <w:rFonts w:ascii="Times New Roman" w:eastAsia="Calibri"/>
        </w:rPr>
        <w:t xml:space="preserve"> absolue, et qui ne r</w:t>
      </w:r>
      <w:r>
        <w:rPr>
          <w:rFonts w:ascii="Times New Roman" w:eastAsia="Calibri"/>
        </w:rPr>
        <w:t>é</w:t>
      </w:r>
      <w:r>
        <w:rPr>
          <w:rFonts w:ascii="Times New Roman" w:eastAsia="Calibri"/>
        </w:rPr>
        <w:t>pondent pas n</w:t>
      </w:r>
      <w:r>
        <w:rPr>
          <w:rFonts w:ascii="Times New Roman" w:eastAsia="Calibri"/>
        </w:rPr>
        <w:t>é</w:t>
      </w:r>
      <w:r>
        <w:rPr>
          <w:rFonts w:ascii="Times New Roman" w:eastAsia="Calibri"/>
        </w:rPr>
        <w:t xml:space="preserve">cessairement </w:t>
      </w:r>
      <w:r>
        <w:rPr>
          <w:rFonts w:ascii="Times New Roman" w:eastAsia="Calibri"/>
        </w:rPr>
        <w:t>à</w:t>
      </w:r>
      <w:r>
        <w:rPr>
          <w:rFonts w:ascii="Times New Roman" w:eastAsia="Calibri"/>
        </w:rPr>
        <w:t xml:space="preserve"> l</w:t>
      </w:r>
      <w:r>
        <w:rPr>
          <w:rFonts w:ascii="Times New Roman" w:eastAsia="Calibri"/>
        </w:rPr>
        <w:t>’</w:t>
      </w:r>
      <w:r>
        <w:rPr>
          <w:rFonts w:ascii="Times New Roman" w:eastAsia="Calibri"/>
        </w:rPr>
        <w:t>objectif poursuivi par le l</w:t>
      </w:r>
      <w:r>
        <w:rPr>
          <w:rFonts w:ascii="Times New Roman" w:eastAsia="Calibri"/>
        </w:rPr>
        <w:t>é</w:t>
      </w:r>
      <w:r>
        <w:rPr>
          <w:rFonts w:ascii="Times New Roman" w:eastAsia="Calibri"/>
        </w:rPr>
        <w:t>gislateur lorsqu</w:t>
      </w:r>
      <w:r>
        <w:rPr>
          <w:rFonts w:ascii="Times New Roman" w:eastAsia="Calibri"/>
        </w:rPr>
        <w:t>’</w:t>
      </w:r>
      <w:r>
        <w:rPr>
          <w:rFonts w:ascii="Times New Roman" w:eastAsia="Calibri"/>
        </w:rPr>
        <w:t>il adopte les l</w:t>
      </w:r>
      <w:r>
        <w:rPr>
          <w:rFonts w:ascii="Times New Roman" w:eastAsia="Calibri"/>
        </w:rPr>
        <w:t>é</w:t>
      </w:r>
      <w:r>
        <w:rPr>
          <w:rFonts w:ascii="Times New Roman" w:eastAsia="Calibri"/>
        </w:rPr>
        <w:t>gislations concern</w:t>
      </w:r>
      <w:r>
        <w:rPr>
          <w:rFonts w:ascii="Times New Roman" w:eastAsia="Calibri"/>
        </w:rPr>
        <w:t>é</w:t>
      </w:r>
      <w:r>
        <w:rPr>
          <w:rFonts w:ascii="Times New Roman" w:eastAsia="Calibri"/>
        </w:rPr>
        <w:t>es</w:t>
      </w:r>
      <w:r>
        <w:rPr>
          <w:rStyle w:val="Marquenotebasdepage"/>
          <w:rFonts w:ascii="Times New Roman" w:eastAsia="Calibri"/>
        </w:rPr>
        <w:footnoteReference w:id="40"/>
      </w:r>
      <w:r>
        <w:rPr>
          <w:rFonts w:ascii="Times New Roman" w:eastAsia="Calibri"/>
        </w:rPr>
        <w:t>. Apr</w:t>
      </w:r>
      <w:r>
        <w:rPr>
          <w:rFonts w:ascii="Times New Roman" w:eastAsia="Calibri"/>
        </w:rPr>
        <w:t>è</w:t>
      </w:r>
      <w:r>
        <w:rPr>
          <w:rFonts w:ascii="Times New Roman" w:eastAsia="Calibri"/>
        </w:rPr>
        <w:t>s avoir bri</w:t>
      </w:r>
      <w:r>
        <w:rPr>
          <w:rFonts w:ascii="Times New Roman" w:eastAsia="Calibri"/>
        </w:rPr>
        <w:t>è</w:t>
      </w:r>
      <w:r>
        <w:rPr>
          <w:rFonts w:ascii="Times New Roman" w:eastAsia="Calibri"/>
        </w:rPr>
        <w:t>vement rappel</w:t>
      </w:r>
      <w:r>
        <w:rPr>
          <w:rFonts w:ascii="Times New Roman" w:eastAsia="Calibri"/>
        </w:rPr>
        <w:t>é</w:t>
      </w:r>
      <w:r>
        <w:rPr>
          <w:rFonts w:ascii="Times New Roman" w:eastAsia="Calibri"/>
        </w:rPr>
        <w:t xml:space="preserve"> les alternatives qui existent, nous proposerons un petit retour aux sources pour montrer que </w:t>
      </w:r>
      <w:r w:rsidR="006B1826">
        <w:rPr>
          <w:rFonts w:ascii="Times New Roman" w:eastAsia="Calibri"/>
        </w:rPr>
        <w:t>l</w:t>
      </w:r>
      <w:r w:rsidR="006B1826">
        <w:rPr>
          <w:rFonts w:ascii="Times New Roman" w:eastAsia="Calibri"/>
        </w:rPr>
        <w:t>’</w:t>
      </w:r>
      <w:r w:rsidR="006B1826">
        <w:rPr>
          <w:rFonts w:ascii="Times New Roman" w:eastAsia="Calibri"/>
        </w:rPr>
        <w:t>automaticit</w:t>
      </w:r>
      <w:r w:rsidR="006B1826">
        <w:rPr>
          <w:rFonts w:ascii="Times New Roman" w:eastAsia="Calibri"/>
        </w:rPr>
        <w:t>é</w:t>
      </w:r>
      <w:r w:rsidR="006B1826">
        <w:rPr>
          <w:rFonts w:ascii="Times New Roman" w:eastAsia="Calibri"/>
        </w:rPr>
        <w:t xml:space="preserve"> de la nullit</w:t>
      </w:r>
      <w:r w:rsidR="006B1826">
        <w:rPr>
          <w:rFonts w:ascii="Times New Roman" w:eastAsia="Calibri"/>
        </w:rPr>
        <w:t>é</w:t>
      </w:r>
      <w:r w:rsidR="006B1826">
        <w:rPr>
          <w:rFonts w:ascii="Times New Roman" w:eastAsia="Calibri"/>
        </w:rPr>
        <w:t xml:space="preserve"> absolue est une invention r</w:t>
      </w:r>
      <w:r w:rsidR="006B1826">
        <w:rPr>
          <w:rFonts w:ascii="Times New Roman" w:eastAsia="Calibri"/>
        </w:rPr>
        <w:t>é</w:t>
      </w:r>
      <w:r w:rsidR="006B1826">
        <w:rPr>
          <w:rFonts w:ascii="Times New Roman" w:eastAsia="Calibri"/>
        </w:rPr>
        <w:t xml:space="preserve">cente. </w:t>
      </w:r>
    </w:p>
    <w:p w14:paraId="1FFC9F1B" w14:textId="77777777" w:rsidR="003F06AA" w:rsidRDefault="003F06AA" w:rsidP="00120DD5">
      <w:pPr>
        <w:jc w:val="both"/>
      </w:pPr>
    </w:p>
    <w:p w14:paraId="23F760F4" w14:textId="4A6F09B1" w:rsidR="00EB6DDE" w:rsidRPr="00E67A43" w:rsidRDefault="00EB6DDE" w:rsidP="005E722F">
      <w:pPr>
        <w:jc w:val="both"/>
        <w:rPr>
          <w:i/>
        </w:rPr>
      </w:pPr>
      <w:r w:rsidRPr="00E67A43">
        <w:rPr>
          <w:i/>
        </w:rPr>
        <w:t>§1. Les alternatives</w:t>
      </w:r>
    </w:p>
    <w:p w14:paraId="132A67F7" w14:textId="222645C8" w:rsidR="00EB6DDE" w:rsidRDefault="00EB6DDE" w:rsidP="00EB6DDE">
      <w:pPr>
        <w:spacing w:after="200"/>
        <w:jc w:val="both"/>
      </w:pPr>
      <w:r>
        <w:br/>
      </w:r>
      <w:r w:rsidR="00E67A43">
        <w:rPr>
          <w:b/>
        </w:rPr>
        <w:t>1</w:t>
      </w:r>
      <w:r w:rsidR="003F06AA">
        <w:rPr>
          <w:b/>
        </w:rPr>
        <w:t>3</w:t>
      </w:r>
      <w:r w:rsidR="00762E5F" w:rsidRPr="00762E5F">
        <w:rPr>
          <w:b/>
        </w:rPr>
        <w:t>. – Les exceptions légales.</w:t>
      </w:r>
      <w:r w:rsidR="004E4812">
        <w:t xml:space="preserve"> </w:t>
      </w:r>
      <w:r>
        <w:t xml:space="preserve">Dans certains cas, le législateur a explicitement prévu un régime </w:t>
      </w:r>
      <w:r w:rsidR="006B1826">
        <w:t xml:space="preserve">de sanction </w:t>
      </w:r>
      <w:r>
        <w:t xml:space="preserve">qui déroge </w:t>
      </w:r>
      <w:r w:rsidR="006B1826">
        <w:t xml:space="preserve">au droit commun </w:t>
      </w:r>
      <w:r>
        <w:t xml:space="preserve">et doit s’appliquer, selon </w:t>
      </w:r>
      <w:r w:rsidRPr="001B0FC3">
        <w:rPr>
          <w:rFonts w:ascii="Times New Roman" w:hAnsi="Times New Roman"/>
          <w:lang w:val="fr-BE"/>
        </w:rPr>
        <w:t>l’adage « </w:t>
      </w:r>
      <w:r w:rsidRPr="001B0FC3">
        <w:rPr>
          <w:rFonts w:ascii="Times New Roman" w:hAnsi="Times New Roman"/>
          <w:i/>
          <w:lang w:val="fr-BE"/>
        </w:rPr>
        <w:t xml:space="preserve">lex </w:t>
      </w:r>
      <w:r w:rsidRPr="001B0FC3">
        <w:rPr>
          <w:rFonts w:ascii="Times New Roman" w:hAnsi="Times New Roman"/>
          <w:i/>
          <w:lang w:val="fr-BE"/>
        </w:rPr>
        <w:lastRenderedPageBreak/>
        <w:t>specialis posterior derogat priori generali</w:t>
      </w:r>
      <w:r w:rsidRPr="001B0FC3">
        <w:rPr>
          <w:rFonts w:ascii="Times New Roman" w:hAnsi="Times New Roman"/>
          <w:lang w:val="fr-BE"/>
        </w:rPr>
        <w:t> »</w:t>
      </w:r>
      <w:r w:rsidRPr="001B0FC3">
        <w:rPr>
          <w:rStyle w:val="Marquenotebasdepage"/>
          <w:rFonts w:ascii="Times New Roman" w:hAnsi="Times New Roman"/>
          <w:lang w:val="fr-BE"/>
        </w:rPr>
        <w:footnoteReference w:id="41"/>
      </w:r>
      <w:r w:rsidRPr="001B0FC3">
        <w:rPr>
          <w:rFonts w:ascii="Times New Roman" w:hAnsi="Times New Roman"/>
          <w:lang w:val="fr-BE"/>
        </w:rPr>
        <w:t>.</w:t>
      </w:r>
      <w:r>
        <w:t xml:space="preserve"> Comme le relève J.-Fr. Romain, il convient de</w:t>
      </w:r>
      <w:r w:rsidRPr="00687C81">
        <w:t xml:space="preserve"> </w:t>
      </w:r>
      <w:r>
        <w:t>« </w:t>
      </w:r>
      <w:r w:rsidRPr="00687C81">
        <w:t>d’abord regarder si le régime ne se suffit pas à lui-même par les sanctions qu’il organise, de sorte que le droit commun des normes d’ordre public ou impératives, ne s’appliquerait plus, ou ne s’appliquerait plus que partiellement</w:t>
      </w:r>
      <w:r>
        <w:t> »</w:t>
      </w:r>
      <w:r>
        <w:rPr>
          <w:rStyle w:val="Marquenotebasdepage"/>
          <w:rFonts w:ascii="Times New Roman" w:eastAsia="Times New Roman"/>
        </w:rPr>
        <w:footnoteReference w:id="42"/>
      </w:r>
      <w:r w:rsidRPr="00687C81">
        <w:t>.</w:t>
      </w:r>
    </w:p>
    <w:p w14:paraId="2032003F" w14:textId="6516BE9F" w:rsidR="00EB6DDE" w:rsidRPr="00D40299" w:rsidRDefault="00EB6DDE" w:rsidP="00EB6DDE">
      <w:pPr>
        <w:spacing w:after="200"/>
        <w:jc w:val="both"/>
        <w:rPr>
          <w:rFonts w:ascii="Times New Roman" w:hAnsi="Times New Roman"/>
          <w:lang w:val="fr-BE"/>
        </w:rPr>
      </w:pPr>
      <w:r>
        <w:t xml:space="preserve">Ainsi, </w:t>
      </w:r>
      <w:r>
        <w:rPr>
          <w:rFonts w:ascii="Times New Roman" w:hAnsi="Times New Roman"/>
          <w:lang w:val="fr-BE"/>
        </w:rPr>
        <w:t xml:space="preserve">l’article 2 de la loi du 20 février 1991 de la loi sur les baux de résidence principale offre au locataire l’option de choisir, lorsque le bien loué ne répond pas, lors de son entrée en jouissance, </w:t>
      </w:r>
      <w:r w:rsidR="00D40299">
        <w:rPr>
          <w:rFonts w:ascii="Times New Roman" w:hAnsi="Times New Roman"/>
          <w:lang w:val="fr-BE"/>
        </w:rPr>
        <w:t>aux</w:t>
      </w:r>
      <w:r>
        <w:rPr>
          <w:rFonts w:ascii="Times New Roman" w:hAnsi="Times New Roman"/>
          <w:lang w:val="fr-BE"/>
        </w:rPr>
        <w:t xml:space="preserve"> exigences minimales</w:t>
      </w:r>
      <w:r w:rsidR="00D40299">
        <w:rPr>
          <w:rFonts w:ascii="Times New Roman" w:hAnsi="Times New Roman"/>
          <w:lang w:val="fr-BE"/>
        </w:rPr>
        <w:t xml:space="preserve"> de sécurité, de salubrité et d’habitabilité</w:t>
      </w:r>
      <w:r>
        <w:rPr>
          <w:rFonts w:ascii="Times New Roman" w:hAnsi="Times New Roman"/>
          <w:lang w:val="fr-BE"/>
        </w:rPr>
        <w:t xml:space="preserve"> entre la résolution</w:t>
      </w:r>
      <w:r>
        <w:rPr>
          <w:rStyle w:val="Marquenotebasdepage"/>
          <w:rFonts w:ascii="Times New Roman" w:hAnsi="Times New Roman"/>
          <w:lang w:val="fr-BE"/>
        </w:rPr>
        <w:footnoteReference w:id="43"/>
      </w:r>
      <w:r>
        <w:rPr>
          <w:rFonts w:ascii="Times New Roman" w:hAnsi="Times New Roman"/>
          <w:lang w:val="fr-BE"/>
        </w:rPr>
        <w:t xml:space="preserve"> du contrat et l’exécution de travaux de mise en conformité. </w:t>
      </w:r>
      <w:r w:rsidRPr="001B0FC3">
        <w:rPr>
          <w:rFonts w:ascii="Times New Roman" w:hAnsi="Times New Roman"/>
          <w:lang w:val="fr-BE"/>
        </w:rPr>
        <w:t>Le législateur fédéral</w:t>
      </w:r>
      <w:r w:rsidR="009B6E9F">
        <w:rPr>
          <w:rStyle w:val="Marquenotebasdepage"/>
          <w:rFonts w:ascii="Times New Roman" w:hAnsi="Times New Roman"/>
          <w:lang w:val="fr-BE"/>
        </w:rPr>
        <w:footnoteReference w:id="44"/>
      </w:r>
      <w:r w:rsidRPr="001B0FC3">
        <w:rPr>
          <w:rFonts w:ascii="Times New Roman" w:hAnsi="Times New Roman"/>
          <w:lang w:val="fr-BE"/>
        </w:rPr>
        <w:t xml:space="preserve"> a manifesté</w:t>
      </w:r>
      <w:r w:rsidR="009B6E9F">
        <w:rPr>
          <w:rFonts w:ascii="Times New Roman" w:hAnsi="Times New Roman"/>
          <w:lang w:val="fr-BE"/>
        </w:rPr>
        <w:t>, de la sorte,</w:t>
      </w:r>
      <w:r w:rsidRPr="001B0FC3">
        <w:rPr>
          <w:rFonts w:ascii="Times New Roman" w:hAnsi="Times New Roman"/>
          <w:lang w:val="fr-BE"/>
        </w:rPr>
        <w:t xml:space="preserve"> son intention de </w:t>
      </w:r>
      <w:r w:rsidR="004F5E66">
        <w:rPr>
          <w:rFonts w:ascii="Times New Roman" w:hAnsi="Times New Roman"/>
          <w:lang w:val="fr-BE"/>
        </w:rPr>
        <w:t>permettre</w:t>
      </w:r>
      <w:r>
        <w:rPr>
          <w:rFonts w:ascii="Times New Roman" w:hAnsi="Times New Roman"/>
          <w:lang w:val="fr-BE"/>
        </w:rPr>
        <w:t xml:space="preserve"> une exception au droit commun des nullités </w:t>
      </w:r>
      <w:r w:rsidRPr="001B0FC3">
        <w:rPr>
          <w:rFonts w:ascii="Times New Roman" w:hAnsi="Times New Roman"/>
          <w:lang w:val="fr-BE"/>
        </w:rPr>
        <w:t xml:space="preserve">en précisant, d’une part, les sanctions attachées au non-respect des normes fédérales de salubrité, d’habitabilité et de sécurité et en intégrant, d’autre part, les normes régionales en la matière dans l’article 2 </w:t>
      </w:r>
      <w:r w:rsidR="004F5E66">
        <w:rPr>
          <w:rFonts w:ascii="Times New Roman" w:hAnsi="Times New Roman"/>
          <w:lang w:val="fr-BE"/>
        </w:rPr>
        <w:t>précité</w:t>
      </w:r>
      <w:r>
        <w:rPr>
          <w:rStyle w:val="Marquenotebasdepage"/>
          <w:rFonts w:ascii="Times New Roman" w:hAnsi="Times New Roman"/>
          <w:lang w:val="fr-BE"/>
        </w:rPr>
        <w:footnoteReference w:id="45"/>
      </w:r>
      <w:r w:rsidRPr="001B0FC3">
        <w:rPr>
          <w:rFonts w:ascii="Times New Roman" w:hAnsi="Times New Roman"/>
          <w:lang w:val="fr-BE"/>
        </w:rPr>
        <w:t>.</w:t>
      </w:r>
      <w:r>
        <w:rPr>
          <w:rFonts w:ascii="Times New Roman" w:hAnsi="Times New Roman"/>
          <w:lang w:val="fr-BE"/>
        </w:rPr>
        <w:t xml:space="preserve"> L</w:t>
      </w:r>
      <w:r w:rsidRPr="001B0FC3">
        <w:rPr>
          <w:rFonts w:ascii="Times New Roman" w:hAnsi="Times New Roman"/>
          <w:lang w:val="fr-BE"/>
        </w:rPr>
        <w:t>’éventuelle violation d’une norme régionale</w:t>
      </w:r>
      <w:r w:rsidR="004F5E66">
        <w:rPr>
          <w:rFonts w:ascii="Times New Roman" w:hAnsi="Times New Roman"/>
          <w:lang w:val="fr-BE"/>
        </w:rPr>
        <w:t xml:space="preserve"> (généralement considérée) comme étant d’ordre public </w:t>
      </w:r>
      <w:r w:rsidRPr="001B0FC3">
        <w:rPr>
          <w:rFonts w:ascii="Times New Roman" w:hAnsi="Times New Roman"/>
          <w:lang w:val="fr-BE"/>
        </w:rPr>
        <w:t>ne prive</w:t>
      </w:r>
      <w:r>
        <w:rPr>
          <w:rFonts w:ascii="Times New Roman" w:hAnsi="Times New Roman"/>
          <w:lang w:val="fr-BE"/>
        </w:rPr>
        <w:t xml:space="preserve"> donc</w:t>
      </w:r>
      <w:r w:rsidRPr="001B0FC3">
        <w:rPr>
          <w:rFonts w:ascii="Times New Roman" w:hAnsi="Times New Roman"/>
          <w:lang w:val="fr-BE"/>
        </w:rPr>
        <w:t xml:space="preserve"> pas le preneur de la possibilité de se prévaloir du choix que lui offre l’article 2 de la loi sur les baux de résidence principale</w:t>
      </w:r>
      <w:r w:rsidRPr="001B0FC3">
        <w:rPr>
          <w:rStyle w:val="Marquenotebasdepage"/>
          <w:rFonts w:ascii="Times New Roman" w:hAnsi="Times New Roman"/>
          <w:lang w:val="fr-BE"/>
        </w:rPr>
        <w:footnoteReference w:id="46"/>
      </w:r>
      <w:r w:rsidRPr="001B0FC3">
        <w:rPr>
          <w:rFonts w:ascii="Times New Roman" w:hAnsi="Times New Roman"/>
          <w:lang w:val="fr-BE"/>
        </w:rPr>
        <w:t xml:space="preserve"> et ce n’est que dans l’hypothèse où il n’en invoque pas le bénéfice que </w:t>
      </w:r>
      <w:r>
        <w:rPr>
          <w:rFonts w:ascii="Times New Roman" w:hAnsi="Times New Roman"/>
          <w:lang w:val="fr-BE"/>
        </w:rPr>
        <w:t>le droit commun des nullités reprend son emprise</w:t>
      </w:r>
      <w:r w:rsidRPr="001B0FC3">
        <w:rPr>
          <w:rFonts w:ascii="Times New Roman" w:hAnsi="Times New Roman"/>
          <w:lang w:val="fr-BE"/>
        </w:rPr>
        <w:t xml:space="preserve">. Cette option revient donc au seul locataire, et non au juge. </w:t>
      </w:r>
    </w:p>
    <w:p w14:paraId="7547B9EC" w14:textId="38034F59" w:rsidR="00D40299" w:rsidRDefault="00D40299" w:rsidP="00EB6DDE">
      <w:pPr>
        <w:spacing w:after="200"/>
        <w:jc w:val="both"/>
      </w:pPr>
      <w:r>
        <w:rPr>
          <w:rFonts w:ascii="Times New Roman" w:hAnsi="Times New Roman"/>
          <w:lang w:val="fr-BE"/>
        </w:rPr>
        <w:t>On peut également évoquer l’article 308, alinéa 4 du C</w:t>
      </w:r>
      <w:r w:rsidR="004C4174">
        <w:rPr>
          <w:rFonts w:ascii="Times New Roman" w:hAnsi="Times New Roman"/>
          <w:lang w:val="fr-BE"/>
        </w:rPr>
        <w:t>oBAT</w:t>
      </w:r>
      <w:r>
        <w:rPr>
          <w:rFonts w:ascii="Times New Roman" w:hAnsi="Times New Roman"/>
          <w:lang w:val="fr-BE"/>
        </w:rPr>
        <w:t xml:space="preserve"> qui prévoit, alors que les règles relatives à l’urbanisme sont généralement considérées comme étant d’ordre public, que « </w:t>
      </w:r>
      <w:r w:rsidRPr="00E30837">
        <w:t xml:space="preserve">le tribunal </w:t>
      </w:r>
      <w:r w:rsidRPr="00D40299">
        <w:rPr>
          <w:i/>
        </w:rPr>
        <w:t>peut</w:t>
      </w:r>
      <w:r w:rsidRPr="00E30837">
        <w:t xml:space="preserve"> annuler</w:t>
      </w:r>
      <w:r>
        <w:t xml:space="preserve"> », à la demande des acquéreurs ou locataires, leur titre d’acquisition ou de location en cas de condamnation pénale du cocontractant qui a commis une des infractions visées à l’article 300 (notamment des travaux effectués sans permis). </w:t>
      </w:r>
    </w:p>
    <w:p w14:paraId="5046478F" w14:textId="7FC8A53A" w:rsidR="00007820" w:rsidRPr="00B736A6" w:rsidRDefault="00007820" w:rsidP="009D6F1E">
      <w:pPr>
        <w:spacing w:after="200"/>
        <w:jc w:val="both"/>
        <w:rPr>
          <w:rFonts w:ascii="Times New Roman" w:eastAsia="Calibri"/>
        </w:rPr>
      </w:pPr>
      <w:r>
        <w:t>Il est vrai cependant qu’il ne résulte pas toujours c</w:t>
      </w:r>
      <w:r w:rsidR="004C4174">
        <w:t>lairement du texte légal qu’un</w:t>
      </w:r>
      <w:r>
        <w:t xml:space="preserve"> régime particulier qu’il a vocation </w:t>
      </w:r>
      <w:r w:rsidR="009D6F1E">
        <w:t xml:space="preserve">– et dans quelle mesure - </w:t>
      </w:r>
      <w:r>
        <w:t>à exclure le régime de droit commun</w:t>
      </w:r>
      <w:r w:rsidR="00B736A6">
        <w:rPr>
          <w:rStyle w:val="Marquenotebasdepage"/>
          <w:rFonts w:ascii="Times New Roman" w:eastAsia="Calibri"/>
        </w:rPr>
        <w:footnoteReference w:id="47"/>
      </w:r>
      <w:r>
        <w:t xml:space="preserve">. Si on peut considérer que le juge pénal a bien la faculté et non l’obligation de prononcer l’annulation d’un contrat conclu en violation des règles du CoBAT, sauf à vider de sa substance le texte de l’article 308, al. 4, </w:t>
      </w:r>
      <w:r w:rsidR="009D6F1E">
        <w:t xml:space="preserve">cette disposition ne permet pas de conclure que le législateur a voulu exclure les sanctions de droit commun lorsque le juge civil est saisi.  </w:t>
      </w:r>
    </w:p>
    <w:p w14:paraId="26608B9E" w14:textId="11A71D61" w:rsidR="001A11D5" w:rsidRDefault="009D6F1E" w:rsidP="009D6F1E">
      <w:pPr>
        <w:jc w:val="both"/>
      </w:pPr>
      <w:r>
        <w:lastRenderedPageBreak/>
        <w:t xml:space="preserve">Le législateur, </w:t>
      </w:r>
      <w:r w:rsidR="008B6963">
        <w:t>transposant le</w:t>
      </w:r>
      <w:r>
        <w:t xml:space="preserve"> droit de l’Union européenne, a été plus explicite</w:t>
      </w:r>
      <w:r w:rsidR="00161B1B">
        <w:rPr>
          <w:rStyle w:val="Marquenotebasdepage"/>
        </w:rPr>
        <w:footnoteReference w:id="48"/>
      </w:r>
      <w:r>
        <w:t xml:space="preserve"> en considérant que certains</w:t>
      </w:r>
      <w:r w:rsidRPr="00B63495">
        <w:t xml:space="preserve"> marché</w:t>
      </w:r>
      <w:r>
        <w:t>s</w:t>
      </w:r>
      <w:r w:rsidR="008B6963">
        <w:t xml:space="preserve"> publics</w:t>
      </w:r>
      <w:r w:rsidRPr="00B63495">
        <w:t>, une fois conclu</w:t>
      </w:r>
      <w:r>
        <w:t>s</w:t>
      </w:r>
      <w:r w:rsidRPr="00B63495">
        <w:t>, ne p</w:t>
      </w:r>
      <w:r>
        <w:t>o</w:t>
      </w:r>
      <w:r w:rsidRPr="00B63495">
        <w:t>u</w:t>
      </w:r>
      <w:r>
        <w:t>vaien</w:t>
      </w:r>
      <w:r w:rsidRPr="00B63495">
        <w:t>t être déclaré</w:t>
      </w:r>
      <w:r>
        <w:t>s</w:t>
      </w:r>
      <w:r w:rsidRPr="00B63495">
        <w:t xml:space="preserve"> dépourvu</w:t>
      </w:r>
      <w:r>
        <w:t>s</w:t>
      </w:r>
      <w:r w:rsidRPr="00B63495">
        <w:t xml:space="preserve"> d</w:t>
      </w:r>
      <w:r>
        <w:t>’</w:t>
      </w:r>
      <w:r w:rsidRPr="00B63495">
        <w:t>effets</w:t>
      </w:r>
      <w:r w:rsidRPr="009D6F1E">
        <w:t xml:space="preserve"> </w:t>
      </w:r>
      <w:r>
        <w:t>en dehors des hypothèses prévues par la loi</w:t>
      </w:r>
      <w:r>
        <w:rPr>
          <w:rStyle w:val="Marquenotebasdepage"/>
        </w:rPr>
        <w:footnoteReference w:id="49"/>
      </w:r>
      <w:r w:rsidRPr="00B63495">
        <w:t>.</w:t>
      </w:r>
      <w:r w:rsidR="001A11D5" w:rsidRPr="00B63495">
        <w:t xml:space="preserve"> </w:t>
      </w:r>
      <w:r w:rsidR="001A11D5">
        <w:t>Cette</w:t>
      </w:r>
      <w:r w:rsidR="007A27CF">
        <w:t xml:space="preserve"> sanction, qui s’apparente à une annulation du contrat, est assortie de limitations importantes et le recours qui tend à l’obtenir est soumis à un délai strict</w:t>
      </w:r>
      <w:r w:rsidR="001A11D5">
        <w:t xml:space="preserve">. </w:t>
      </w:r>
      <w:r w:rsidR="005F611B">
        <w:t xml:space="preserve">Plusieurs auteurs considèrent dès lors que le juge </w:t>
      </w:r>
      <w:r>
        <w:t xml:space="preserve">judiciaire </w:t>
      </w:r>
      <w:r w:rsidR="005F611B">
        <w:t>ne pourrait annuler un contrat dans d’autres circonstances que celles prévues par cette législation</w:t>
      </w:r>
      <w:r w:rsidR="005F611B">
        <w:rPr>
          <w:rStyle w:val="Marquenotebasdepage"/>
        </w:rPr>
        <w:footnoteReference w:id="50"/>
      </w:r>
      <w:r w:rsidR="005F611B">
        <w:t xml:space="preserve">. </w:t>
      </w:r>
    </w:p>
    <w:p w14:paraId="4414BB4D" w14:textId="08685A65" w:rsidR="00007820" w:rsidRDefault="00007820" w:rsidP="00EB6DDE">
      <w:pPr>
        <w:jc w:val="both"/>
      </w:pPr>
    </w:p>
    <w:p w14:paraId="39164823" w14:textId="1D202CC4" w:rsidR="00007820" w:rsidRDefault="00E67A43" w:rsidP="001A11D5">
      <w:pPr>
        <w:jc w:val="both"/>
      </w:pPr>
      <w:r>
        <w:rPr>
          <w:b/>
        </w:rPr>
        <w:t>1</w:t>
      </w:r>
      <w:r w:rsidR="003F06AA">
        <w:rPr>
          <w:b/>
        </w:rPr>
        <w:t>4</w:t>
      </w:r>
      <w:r w:rsidR="00762E5F" w:rsidRPr="00762E5F">
        <w:rPr>
          <w:b/>
        </w:rPr>
        <w:t xml:space="preserve">. – Les </w:t>
      </w:r>
      <w:r w:rsidR="00762E5F">
        <w:rPr>
          <w:b/>
        </w:rPr>
        <w:t>techniques</w:t>
      </w:r>
      <w:r w:rsidR="00762E5F" w:rsidRPr="00762E5F">
        <w:rPr>
          <w:b/>
        </w:rPr>
        <w:t xml:space="preserve"> prétoriennes. </w:t>
      </w:r>
      <w:r w:rsidR="00762E5F">
        <w:t xml:space="preserve">Plusieurs techniques, largement acceptées, </w:t>
      </w:r>
      <w:r w:rsidR="001A11D5">
        <w:t xml:space="preserve">permettent d’atténuer, voire d’éviter les effets de la nullité, comme </w:t>
      </w:r>
      <w:r w:rsidR="001A11D5" w:rsidRPr="001A11D5">
        <w:t>la nullité partielle, la</w:t>
      </w:r>
      <w:r w:rsidR="001A11D5">
        <w:t xml:space="preserve"> réduction et la conversion</w:t>
      </w:r>
      <w:r w:rsidR="009B6E9F">
        <w:rPr>
          <w:rFonts w:ascii="Times New Roman" w:eastAsia="Times New Roman"/>
          <w:vertAlign w:val="superscript"/>
        </w:rPr>
        <w:footnoteReference w:id="51"/>
      </w:r>
      <w:r w:rsidR="001A11D5">
        <w:t xml:space="preserve">. </w:t>
      </w:r>
      <w:r w:rsidR="00440664">
        <w:t>Il est renvoyé à la contribution qui leur est consacrée</w:t>
      </w:r>
      <w:r w:rsidR="00440664">
        <w:rPr>
          <w:rStyle w:val="Marquenotebasdepage"/>
        </w:rPr>
        <w:footnoteReference w:id="52"/>
      </w:r>
      <w:r w:rsidR="00440664">
        <w:t xml:space="preserve">. </w:t>
      </w:r>
    </w:p>
    <w:p w14:paraId="28FC622D" w14:textId="77777777" w:rsidR="00440664" w:rsidRDefault="00440664" w:rsidP="001A11D5">
      <w:pPr>
        <w:jc w:val="both"/>
      </w:pPr>
    </w:p>
    <w:p w14:paraId="06675113" w14:textId="54E125A2" w:rsidR="00440664" w:rsidRDefault="00682E3A" w:rsidP="00876130">
      <w:pPr>
        <w:jc w:val="both"/>
        <w:rPr>
          <w:rFonts w:ascii="Times New Roman" w:eastAsia="Calibri"/>
        </w:rPr>
      </w:pPr>
      <w:r>
        <w:t>De même, lorsqu’une des parties demanden</w:t>
      </w:r>
      <w:r w:rsidR="00876130">
        <w:t xml:space="preserve">t la nullité d’un contrat, il peut lui être opposé qu’elle abuse de la sorte de son droit. Il est, en effet, de jurisprudence constante que </w:t>
      </w:r>
      <w:r w:rsidRPr="00682E3A">
        <w:t>la notion d’abus de droit s’applique également lorsque le droit visé est d’ordre public ou impératif</w:t>
      </w:r>
      <w:r w:rsidRPr="00682E3A">
        <w:rPr>
          <w:rStyle w:val="Marquenotebasdepage"/>
        </w:rPr>
        <w:footnoteReference w:id="53"/>
      </w:r>
      <w:r w:rsidRPr="00682E3A">
        <w:t>.</w:t>
      </w:r>
      <w:r w:rsidR="00876130">
        <w:t xml:space="preserve"> </w:t>
      </w:r>
    </w:p>
    <w:p w14:paraId="3081B44F" w14:textId="77777777" w:rsidR="00876130" w:rsidRPr="00682E3A" w:rsidRDefault="00876130" w:rsidP="00876130">
      <w:pPr>
        <w:jc w:val="both"/>
        <w:rPr>
          <w:rFonts w:ascii="Times New Roman" w:eastAsia="Calibri"/>
        </w:rPr>
      </w:pPr>
    </w:p>
    <w:p w14:paraId="211E13C6" w14:textId="5BA46F99" w:rsidR="00BF456D" w:rsidRPr="00C035EA" w:rsidRDefault="00440664" w:rsidP="00BF456D">
      <w:pPr>
        <w:jc w:val="both"/>
        <w:rPr>
          <w:rFonts w:ascii="Times New Roman" w:eastAsia="Calibri"/>
        </w:rPr>
      </w:pPr>
      <w:r>
        <w:t>D’autres approches ont</w:t>
      </w:r>
      <w:r w:rsidR="00876130">
        <w:t>, enfin,</w:t>
      </w:r>
      <w:r>
        <w:t xml:space="preserve"> été tentées, comme celle proposée par la Cour d’appel de Liège suite à la suggestion de P. Van Ommeslaghe : la régularisation, même en cas de violation d’une norme d’ordre public</w:t>
      </w:r>
      <w:r w:rsidR="00762E5F">
        <w:rPr>
          <w:rFonts w:ascii="Times New Roman" w:eastAsia="Times New Roman"/>
          <w:vertAlign w:val="superscript"/>
        </w:rPr>
        <w:footnoteReference w:id="54"/>
      </w:r>
      <w:r>
        <w:t xml:space="preserve">. </w:t>
      </w:r>
      <w:r w:rsidR="00876130">
        <w:t xml:space="preserve">Selon cet auteur, la règle prévue par l’article 176 du Code des sociétés, qui permet au juge de ne pas prononcer la nullité d’une société lorsqu’une régularisation de sa situation est possible mais de lui accorder un délai pour ce faire, pourrait </w:t>
      </w:r>
      <w:r w:rsidR="00083CF7">
        <w:t>être « </w:t>
      </w:r>
      <w:r w:rsidR="00083CF7" w:rsidRPr="00DD6964">
        <w:t>étendue à toute action en nullité, pourvu que l’ordre public ne soit pas compromis</w:t>
      </w:r>
      <w:r w:rsidR="00083CF7">
        <w:t> »</w:t>
      </w:r>
      <w:r w:rsidR="00876130">
        <w:rPr>
          <w:rStyle w:val="Marquenotebasdepage"/>
        </w:rPr>
        <w:footnoteReference w:id="55"/>
      </w:r>
      <w:r w:rsidR="00876130" w:rsidRPr="005C3F1B">
        <w:t>.</w:t>
      </w:r>
      <w:r w:rsidR="00876130">
        <w:t xml:space="preserve"> Dans un arrêt du 23 décembre 2014</w:t>
      </w:r>
      <w:r w:rsidR="00876130">
        <w:rPr>
          <w:rFonts w:ascii="Times New Roman" w:eastAsia="Times New Roman"/>
          <w:vertAlign w:val="superscript"/>
        </w:rPr>
        <w:footnoteReference w:id="56"/>
      </w:r>
      <w:r w:rsidR="00876130">
        <w:t xml:space="preserve">, </w:t>
      </w:r>
      <w:r w:rsidR="00876130">
        <w:rPr>
          <w:rFonts w:ascii="Times New Roman" w:eastAsia="Calibri"/>
        </w:rPr>
        <w:t>la Cour d</w:t>
      </w:r>
      <w:r w:rsidR="00876130">
        <w:rPr>
          <w:rFonts w:ascii="Times New Roman" w:eastAsia="Calibri"/>
        </w:rPr>
        <w:t>’</w:t>
      </w:r>
      <w:r w:rsidR="00876130">
        <w:rPr>
          <w:rFonts w:ascii="Times New Roman" w:eastAsia="Calibri"/>
        </w:rPr>
        <w:t>appel de Li</w:t>
      </w:r>
      <w:r w:rsidR="00876130">
        <w:rPr>
          <w:rFonts w:ascii="Times New Roman" w:eastAsia="Calibri"/>
        </w:rPr>
        <w:t>è</w:t>
      </w:r>
      <w:r w:rsidR="00876130">
        <w:rPr>
          <w:rFonts w:ascii="Times New Roman" w:eastAsia="Calibri"/>
        </w:rPr>
        <w:t>ge a</w:t>
      </w:r>
      <w:r w:rsidR="00C035EA">
        <w:rPr>
          <w:rFonts w:ascii="Times New Roman" w:eastAsia="Calibri"/>
        </w:rPr>
        <w:t xml:space="preserve"> ainsi</w:t>
      </w:r>
      <w:r w:rsidR="00876130">
        <w:rPr>
          <w:rFonts w:ascii="Times New Roman" w:eastAsia="Calibri"/>
        </w:rPr>
        <w:t xml:space="preserve"> autoris</w:t>
      </w:r>
      <w:r w:rsidR="00876130">
        <w:rPr>
          <w:rFonts w:ascii="Times New Roman" w:eastAsia="Calibri"/>
        </w:rPr>
        <w:t>é</w:t>
      </w:r>
      <w:r w:rsidR="00876130">
        <w:rPr>
          <w:rFonts w:ascii="Times New Roman" w:eastAsia="Calibri"/>
        </w:rPr>
        <w:t xml:space="preserve"> les vendeurs d</w:t>
      </w:r>
      <w:r w:rsidR="00876130">
        <w:rPr>
          <w:rFonts w:ascii="Times New Roman" w:eastAsia="Calibri"/>
        </w:rPr>
        <w:t>’</w:t>
      </w:r>
      <w:r w:rsidR="00876130">
        <w:rPr>
          <w:rFonts w:ascii="Times New Roman" w:eastAsia="Calibri"/>
        </w:rPr>
        <w:t>un immeuble qu</w:t>
      </w:r>
      <w:r w:rsidR="00876130">
        <w:rPr>
          <w:rFonts w:ascii="Times New Roman" w:eastAsia="Calibri"/>
        </w:rPr>
        <w:t>’</w:t>
      </w:r>
      <w:r w:rsidR="00876130">
        <w:rPr>
          <w:rFonts w:ascii="Times New Roman" w:eastAsia="Calibri"/>
        </w:rPr>
        <w:t>ils avaient</w:t>
      </w:r>
      <w:r w:rsidR="00C035EA">
        <w:rPr>
          <w:rFonts w:ascii="Times New Roman" w:eastAsia="Calibri"/>
        </w:rPr>
        <w:t>, sans permis,</w:t>
      </w:r>
      <w:r w:rsidR="00876130">
        <w:rPr>
          <w:rFonts w:ascii="Times New Roman" w:eastAsia="Calibri"/>
        </w:rPr>
        <w:t xml:space="preserve"> divis</w:t>
      </w:r>
      <w:r w:rsidR="00876130">
        <w:rPr>
          <w:rFonts w:ascii="Times New Roman" w:eastAsia="Calibri"/>
        </w:rPr>
        <w:t>é</w:t>
      </w:r>
      <w:r w:rsidR="00876130">
        <w:rPr>
          <w:rFonts w:ascii="Times New Roman" w:eastAsia="Calibri"/>
        </w:rPr>
        <w:t xml:space="preserve"> en trois appartements</w:t>
      </w:r>
      <w:r w:rsidR="00C035EA">
        <w:rPr>
          <w:rFonts w:ascii="Times New Roman" w:eastAsia="Calibri"/>
        </w:rPr>
        <w:t>,</w:t>
      </w:r>
      <w:r w:rsidR="00876130">
        <w:rPr>
          <w:rFonts w:ascii="Times New Roman" w:eastAsia="Calibri"/>
        </w:rPr>
        <w:t xml:space="preserve"> </w:t>
      </w:r>
      <w:r w:rsidR="00C035EA">
        <w:rPr>
          <w:rFonts w:ascii="Times New Roman" w:eastAsia="Calibri"/>
        </w:rPr>
        <w:t>à</w:t>
      </w:r>
      <w:r w:rsidR="00C035EA">
        <w:rPr>
          <w:rFonts w:ascii="Times New Roman" w:eastAsia="Calibri"/>
        </w:rPr>
        <w:t xml:space="preserve"> </w:t>
      </w:r>
      <w:r w:rsidR="00876130">
        <w:rPr>
          <w:rFonts w:ascii="Times New Roman" w:eastAsia="Calibri"/>
        </w:rPr>
        <w:t>introduire une demande de r</w:t>
      </w:r>
      <w:r w:rsidR="00876130">
        <w:rPr>
          <w:rFonts w:ascii="Times New Roman" w:eastAsia="Calibri"/>
        </w:rPr>
        <w:t>é</w:t>
      </w:r>
      <w:r w:rsidR="00876130">
        <w:rPr>
          <w:rFonts w:ascii="Times New Roman" w:eastAsia="Calibri"/>
        </w:rPr>
        <w:t>gularisation, au lieu de constater la nullit</w:t>
      </w:r>
      <w:r w:rsidR="00876130">
        <w:rPr>
          <w:rFonts w:ascii="Times New Roman" w:eastAsia="Calibri"/>
        </w:rPr>
        <w:t>é</w:t>
      </w:r>
      <w:r w:rsidR="00876130">
        <w:rPr>
          <w:rFonts w:ascii="Times New Roman" w:eastAsia="Calibri"/>
        </w:rPr>
        <w:t xml:space="preserve"> de la vente. </w:t>
      </w:r>
      <w:r w:rsidR="00BF456D">
        <w:rPr>
          <w:rFonts w:ascii="Times New Roman" w:eastAsia="Calibri"/>
        </w:rPr>
        <w:t>Selon P. W</w:t>
      </w:r>
      <w:r w:rsidR="00BF456D">
        <w:rPr>
          <w:rFonts w:ascii="Times New Roman" w:eastAsia="Calibri"/>
        </w:rPr>
        <w:t>é</w:t>
      </w:r>
      <w:r w:rsidR="00BF456D">
        <w:rPr>
          <w:rFonts w:ascii="Times New Roman" w:eastAsia="Calibri"/>
        </w:rPr>
        <w:t xml:space="preserve">ry, cette </w:t>
      </w:r>
      <w:r w:rsidR="00BF456D">
        <w:rPr>
          <w:rFonts w:ascii="Times New Roman" w:eastAsia="Calibri"/>
        </w:rPr>
        <w:lastRenderedPageBreak/>
        <w:t>d</w:t>
      </w:r>
      <w:r w:rsidR="00BF456D">
        <w:rPr>
          <w:rFonts w:ascii="Times New Roman" w:eastAsia="Calibri"/>
        </w:rPr>
        <w:t>é</w:t>
      </w:r>
      <w:r w:rsidR="00BF456D">
        <w:rPr>
          <w:rFonts w:ascii="Times New Roman" w:eastAsia="Calibri"/>
        </w:rPr>
        <w:t>cision est</w:t>
      </w:r>
      <w:r w:rsidR="00876130">
        <w:rPr>
          <w:rFonts w:ascii="Times New Roman" w:eastAsia="Calibri"/>
        </w:rPr>
        <w:t xml:space="preserve"> </w:t>
      </w:r>
      <w:r w:rsidR="00BF456D">
        <w:rPr>
          <w:rFonts w:ascii="Times New Roman" w:eastAsia="Calibri"/>
        </w:rPr>
        <w:t>« </w:t>
      </w:r>
      <w:r w:rsidR="00876130">
        <w:rPr>
          <w:rFonts w:ascii="Times New Roman" w:eastAsia="Calibri"/>
        </w:rPr>
        <w:t xml:space="preserve">discutable </w:t>
      </w:r>
      <w:r w:rsidR="00876130">
        <w:rPr>
          <w:rFonts w:ascii="Times New Roman" w:eastAsia="Calibri"/>
          <w:i/>
        </w:rPr>
        <w:t>de lege lata</w:t>
      </w:r>
      <w:r w:rsidR="00BF456D">
        <w:rPr>
          <w:rFonts w:ascii="Times New Roman" w:eastAsia="Calibri"/>
        </w:rPr>
        <w:t> »</w:t>
      </w:r>
      <w:r w:rsidR="00BF456D">
        <w:rPr>
          <w:rFonts w:ascii="Times New Roman" w:eastAsia="Calibri"/>
        </w:rPr>
        <w:t xml:space="preserve"> en ce qu</w:t>
      </w:r>
      <w:r w:rsidR="00BF456D">
        <w:rPr>
          <w:rFonts w:ascii="Times New Roman" w:eastAsia="Calibri"/>
        </w:rPr>
        <w:t>’</w:t>
      </w:r>
      <w:r w:rsidR="00BF456D">
        <w:rPr>
          <w:rFonts w:ascii="Times New Roman" w:eastAsia="Calibri"/>
        </w:rPr>
        <w:t xml:space="preserve">elle lui </w:t>
      </w:r>
      <w:r w:rsidR="00BF456D">
        <w:rPr>
          <w:rFonts w:ascii="Times New Roman" w:eastAsia="Calibri"/>
        </w:rPr>
        <w:t>« </w:t>
      </w:r>
      <w:r w:rsidR="00876130">
        <w:rPr>
          <w:rFonts w:ascii="Times New Roman" w:eastAsia="Calibri"/>
        </w:rPr>
        <w:t>semble m</w:t>
      </w:r>
      <w:r w:rsidR="00876130">
        <w:rPr>
          <w:rFonts w:ascii="Times New Roman" w:eastAsia="Calibri"/>
        </w:rPr>
        <w:t>é</w:t>
      </w:r>
      <w:r w:rsidR="00876130">
        <w:rPr>
          <w:rFonts w:ascii="Times New Roman" w:eastAsia="Calibri"/>
        </w:rPr>
        <w:t>conna</w:t>
      </w:r>
      <w:r w:rsidR="00876130">
        <w:rPr>
          <w:rFonts w:ascii="Times New Roman" w:eastAsia="Calibri"/>
        </w:rPr>
        <w:t>î</w:t>
      </w:r>
      <w:r w:rsidR="00876130">
        <w:rPr>
          <w:rFonts w:ascii="Times New Roman" w:eastAsia="Calibri"/>
        </w:rPr>
        <w:t>tre la r</w:t>
      </w:r>
      <w:r w:rsidR="00876130">
        <w:rPr>
          <w:rFonts w:ascii="Times New Roman" w:eastAsia="Calibri"/>
        </w:rPr>
        <w:t>è</w:t>
      </w:r>
      <w:r w:rsidR="00876130">
        <w:rPr>
          <w:rFonts w:ascii="Times New Roman" w:eastAsia="Calibri"/>
        </w:rPr>
        <w:t>gle suivant laquelle les actes entach</w:t>
      </w:r>
      <w:r w:rsidR="00876130">
        <w:rPr>
          <w:rFonts w:ascii="Times New Roman" w:eastAsia="Calibri"/>
        </w:rPr>
        <w:t>é</w:t>
      </w:r>
      <w:r w:rsidR="00876130">
        <w:rPr>
          <w:rFonts w:ascii="Times New Roman" w:eastAsia="Calibri"/>
        </w:rPr>
        <w:t>s de nullit</w:t>
      </w:r>
      <w:r w:rsidR="00876130">
        <w:rPr>
          <w:rFonts w:ascii="Times New Roman" w:eastAsia="Calibri"/>
        </w:rPr>
        <w:t>é</w:t>
      </w:r>
      <w:r w:rsidR="00876130">
        <w:rPr>
          <w:rFonts w:ascii="Times New Roman" w:eastAsia="Calibri"/>
        </w:rPr>
        <w:t xml:space="preserve"> absolue ne sont pas susceptibles de confirmation</w:t>
      </w:r>
      <w:r w:rsidR="00BF456D">
        <w:rPr>
          <w:rFonts w:ascii="Times New Roman" w:eastAsia="Calibri"/>
        </w:rPr>
        <w:t> »</w:t>
      </w:r>
      <w:r w:rsidR="00876130">
        <w:rPr>
          <w:rFonts w:ascii="Times New Roman" w:eastAsia="Times New Roman"/>
          <w:vertAlign w:val="superscript"/>
        </w:rPr>
        <w:footnoteReference w:id="57"/>
      </w:r>
      <w:r w:rsidR="00876130">
        <w:rPr>
          <w:rFonts w:ascii="Times New Roman" w:eastAsia="Calibri"/>
        </w:rPr>
        <w:t xml:space="preserve">. </w:t>
      </w:r>
      <w:r w:rsidR="00C035EA">
        <w:rPr>
          <w:rFonts w:ascii="Times New Roman" w:eastAsia="Calibri"/>
        </w:rPr>
        <w:t>L</w:t>
      </w:r>
      <w:r w:rsidR="00BF456D">
        <w:rPr>
          <w:rFonts w:ascii="Times New Roman" w:eastAsia="Calibri"/>
        </w:rPr>
        <w:t>a motivation de la Cour d</w:t>
      </w:r>
      <w:r w:rsidR="00BF456D">
        <w:rPr>
          <w:rFonts w:ascii="Times New Roman" w:eastAsia="Calibri"/>
        </w:rPr>
        <w:t>’</w:t>
      </w:r>
      <w:r w:rsidR="00BF456D">
        <w:rPr>
          <w:rFonts w:ascii="Times New Roman" w:eastAsia="Calibri"/>
        </w:rPr>
        <w:t>appel de Li</w:t>
      </w:r>
      <w:r w:rsidR="00BF456D">
        <w:rPr>
          <w:rFonts w:ascii="Times New Roman" w:eastAsia="Calibri"/>
        </w:rPr>
        <w:t>è</w:t>
      </w:r>
      <w:r w:rsidR="00BF456D">
        <w:rPr>
          <w:rFonts w:ascii="Times New Roman" w:eastAsia="Calibri"/>
        </w:rPr>
        <w:t xml:space="preserve">ge </w:t>
      </w:r>
      <w:r w:rsidR="00C035EA">
        <w:rPr>
          <w:rFonts w:ascii="Times New Roman" w:eastAsia="Calibri"/>
        </w:rPr>
        <w:t>nous semble</w:t>
      </w:r>
      <w:r w:rsidR="00BF456D">
        <w:rPr>
          <w:rFonts w:ascii="Times New Roman" w:eastAsia="Calibri"/>
        </w:rPr>
        <w:t xml:space="preserve"> </w:t>
      </w:r>
      <w:r w:rsidR="00C035EA">
        <w:rPr>
          <w:rFonts w:ascii="Times New Roman" w:eastAsia="Calibri"/>
        </w:rPr>
        <w:t xml:space="preserve">cependant </w:t>
      </w:r>
      <w:r w:rsidR="00BF456D">
        <w:rPr>
          <w:rFonts w:ascii="Times New Roman" w:eastAsia="Calibri"/>
        </w:rPr>
        <w:t xml:space="preserve">plus subtile </w:t>
      </w:r>
      <w:r w:rsidR="00BF456D">
        <w:rPr>
          <w:rFonts w:ascii="Times New Roman" w:eastAsia="Calibri"/>
        </w:rPr>
        <w:t>–</w:t>
      </w:r>
      <w:r w:rsidR="00BF456D">
        <w:rPr>
          <w:rFonts w:ascii="Times New Roman" w:eastAsia="Calibri"/>
        </w:rPr>
        <w:t xml:space="preserve"> ou plus </w:t>
      </w:r>
      <w:r w:rsidR="008B6963">
        <w:rPr>
          <w:rFonts w:ascii="Times New Roman" w:eastAsia="Calibri"/>
        </w:rPr>
        <w:t>sournoise</w:t>
      </w:r>
      <w:r w:rsidR="00BF456D">
        <w:rPr>
          <w:rFonts w:ascii="Times New Roman" w:eastAsia="Calibri"/>
        </w:rPr>
        <w:t>, c</w:t>
      </w:r>
      <w:r w:rsidR="00BF456D">
        <w:rPr>
          <w:rFonts w:ascii="Times New Roman" w:eastAsia="Calibri"/>
        </w:rPr>
        <w:t>’</w:t>
      </w:r>
      <w:r w:rsidR="00BF456D">
        <w:rPr>
          <w:rFonts w:ascii="Times New Roman" w:eastAsia="Calibri"/>
        </w:rPr>
        <w:t>est selon- d</w:t>
      </w:r>
      <w:r w:rsidR="00BF456D">
        <w:rPr>
          <w:rFonts w:ascii="Times New Roman" w:eastAsia="Calibri"/>
        </w:rPr>
        <w:t>è</w:t>
      </w:r>
      <w:r w:rsidR="00BF456D">
        <w:rPr>
          <w:rFonts w:ascii="Times New Roman" w:eastAsia="Calibri"/>
        </w:rPr>
        <w:t>s lors que les magistrats ont jug</w:t>
      </w:r>
      <w:r w:rsidR="00BF456D">
        <w:rPr>
          <w:rFonts w:ascii="Times New Roman" w:eastAsia="Calibri"/>
        </w:rPr>
        <w:t>é</w:t>
      </w:r>
      <w:r w:rsidR="00BF456D">
        <w:rPr>
          <w:rFonts w:ascii="Times New Roman" w:eastAsia="Calibri"/>
        </w:rPr>
        <w:t xml:space="preserve"> important de savoir s</w:t>
      </w:r>
      <w:r w:rsidR="00BF456D">
        <w:rPr>
          <w:rFonts w:ascii="Times New Roman" w:eastAsia="Calibri"/>
        </w:rPr>
        <w:t>’</w:t>
      </w:r>
      <w:r w:rsidR="00BF456D">
        <w:rPr>
          <w:rFonts w:ascii="Times New Roman" w:eastAsia="Calibri"/>
        </w:rPr>
        <w:t xml:space="preserve">il y avait </w:t>
      </w:r>
      <w:r w:rsidR="00BF456D">
        <w:t>« </w:t>
      </w:r>
      <w:r w:rsidR="00876130" w:rsidRPr="005C3F1B">
        <w:t xml:space="preserve">matière ou non à régularisation </w:t>
      </w:r>
      <w:r w:rsidR="00876130" w:rsidRPr="00BF456D">
        <w:t>car dans l’affirmative, la question de savoir si les intimés n’abusent pas de leur droit en postulant l’annulation de la vente devra être abordée</w:t>
      </w:r>
      <w:r w:rsidR="00BF456D" w:rsidRPr="00BF456D">
        <w:t> »</w:t>
      </w:r>
      <w:r w:rsidR="00BF456D">
        <w:rPr>
          <w:rFonts w:ascii="Times New Roman" w:eastAsia="Times New Roman"/>
          <w:vertAlign w:val="superscript"/>
        </w:rPr>
        <w:footnoteReference w:id="58"/>
      </w:r>
      <w:r w:rsidR="00BF456D" w:rsidRPr="00BF456D">
        <w:t xml:space="preserve">. </w:t>
      </w:r>
      <w:r w:rsidR="00BF456D">
        <w:t>C’est donc en réalité sous l’angle de l’abus de droit qu’ils ont envisagé la question, son appréciation exigeant</w:t>
      </w:r>
      <w:r w:rsidR="00C035EA">
        <w:t>, selon eux,</w:t>
      </w:r>
      <w:r w:rsidR="00BF456D">
        <w:t xml:space="preserve"> de savoir si une régularisation était possible. Il est vrai que le résultat est, sans doute, très comparable.</w:t>
      </w:r>
    </w:p>
    <w:p w14:paraId="696E753F" w14:textId="77777777" w:rsidR="00D631D4" w:rsidRDefault="00D631D4" w:rsidP="005E722F">
      <w:pPr>
        <w:jc w:val="both"/>
        <w:rPr>
          <w:b/>
        </w:rPr>
      </w:pPr>
    </w:p>
    <w:p w14:paraId="23DDB982" w14:textId="36A7F60C" w:rsidR="006D4648" w:rsidRDefault="00E67A43" w:rsidP="006D4648">
      <w:pPr>
        <w:jc w:val="both"/>
      </w:pPr>
      <w:r>
        <w:rPr>
          <w:b/>
        </w:rPr>
        <w:t>1</w:t>
      </w:r>
      <w:r w:rsidR="003F06AA">
        <w:rPr>
          <w:b/>
        </w:rPr>
        <w:t>5</w:t>
      </w:r>
      <w:r w:rsidR="008B6963">
        <w:rPr>
          <w:b/>
        </w:rPr>
        <w:t>. -</w:t>
      </w:r>
      <w:r w:rsidR="006D4648" w:rsidRPr="006D4648">
        <w:rPr>
          <w:b/>
        </w:rPr>
        <w:t xml:space="preserve"> </w:t>
      </w:r>
      <w:r w:rsidR="006D4648">
        <w:rPr>
          <w:b/>
        </w:rPr>
        <w:t>Des solutions</w:t>
      </w:r>
      <w:r w:rsidR="006D4648" w:rsidRPr="006D4648">
        <w:rPr>
          <w:b/>
        </w:rPr>
        <w:t xml:space="preserve"> insuffisan</w:t>
      </w:r>
      <w:r w:rsidR="006D4648">
        <w:rPr>
          <w:b/>
        </w:rPr>
        <w:t>t</w:t>
      </w:r>
      <w:r w:rsidR="006D4648" w:rsidRPr="006D4648">
        <w:rPr>
          <w:b/>
        </w:rPr>
        <w:t xml:space="preserve">es. </w:t>
      </w:r>
      <w:r w:rsidR="006D4648" w:rsidRPr="006D4648">
        <w:t xml:space="preserve">Il faut </w:t>
      </w:r>
      <w:r w:rsidR="006D4648">
        <w:t xml:space="preserve">cependant reconnaître que, bien souvent, le législateur ne se préoccupe pas des conséquences civiles résultant de la violation des règles qu’il édicte. Par ailleurs, </w:t>
      </w:r>
      <w:r w:rsidR="00013D0F" w:rsidRPr="00013D0F">
        <w:t xml:space="preserve">chacune des techniques précitées </w:t>
      </w:r>
      <w:r w:rsidR="00013D0F">
        <w:t xml:space="preserve">est soumise à des conditions </w:t>
      </w:r>
      <w:r w:rsidR="008B6963">
        <w:t>strictes</w:t>
      </w:r>
      <w:r w:rsidR="00013D0F">
        <w:t xml:space="preserve"> </w:t>
      </w:r>
      <w:r w:rsidR="006D4648">
        <w:t xml:space="preserve">qui ne permettent pas toujours de remédier aux situations absurdes envisagées </w:t>
      </w:r>
      <w:r w:rsidR="008B6963">
        <w:t>ci-avant (§7)</w:t>
      </w:r>
      <w:r w:rsidR="006D4648">
        <w:t xml:space="preserve">. </w:t>
      </w:r>
    </w:p>
    <w:p w14:paraId="5043122D" w14:textId="77777777" w:rsidR="006D4648" w:rsidRDefault="006D4648" w:rsidP="006D4648">
      <w:pPr>
        <w:jc w:val="both"/>
      </w:pPr>
    </w:p>
    <w:p w14:paraId="13B4C5E8" w14:textId="77777777" w:rsidR="006D4648" w:rsidRDefault="006D4648" w:rsidP="006D4648">
      <w:pPr>
        <w:jc w:val="both"/>
      </w:pPr>
      <w:r>
        <w:t>Il est évident que la piste royale consiste en une refonte législative des dispositions du Code civil relatives à la nullité des conventions. Comme le relève P. Wéry, le « </w:t>
      </w:r>
      <w:r w:rsidRPr="00670397">
        <w:t>fossé est énorme entre ces textes, qui accusent le poids des ans, et l’état actuel de notre droit, autrement plus riche et nuancé</w:t>
      </w:r>
      <w:r>
        <w:t> » de sorte qu’une « </w:t>
      </w:r>
      <w:r w:rsidRPr="00670397">
        <w:t>révision en profondeur du régime des nullités s’impose de toute évidence</w:t>
      </w:r>
      <w:r>
        <w:t> »</w:t>
      </w:r>
      <w:r w:rsidRPr="00670397">
        <w:t xml:space="preserve">. </w:t>
      </w:r>
      <w:r>
        <w:t xml:space="preserve">Il suggère au législateur de </w:t>
      </w:r>
      <w:r w:rsidRPr="00670397">
        <w:t xml:space="preserve">nuancer les effets de </w:t>
      </w:r>
      <w:r>
        <w:t>la</w:t>
      </w:r>
      <w:r w:rsidRPr="00670397">
        <w:t xml:space="preserve"> sanction</w:t>
      </w:r>
      <w:r>
        <w:t xml:space="preserve"> de nullité</w:t>
      </w:r>
      <w:r w:rsidRPr="00670397">
        <w:t xml:space="preserve"> en consacrant les avancées jurisprudentielles</w:t>
      </w:r>
      <w:r>
        <w:t xml:space="preserve"> et « </w:t>
      </w:r>
      <w:r w:rsidRPr="00670397">
        <w:t>d’élaborer un cadre légal pour les différentes techniques qui permettent d’assurer le sauvetage du contrat</w:t>
      </w:r>
      <w:r>
        <w:t> »</w:t>
      </w:r>
      <w:r>
        <w:rPr>
          <w:rFonts w:ascii="Times New Roman" w:eastAsia="Times New Roman"/>
          <w:vertAlign w:val="superscript"/>
        </w:rPr>
        <w:footnoteReference w:id="59"/>
      </w:r>
      <w:r w:rsidRPr="00670397">
        <w:t>.</w:t>
      </w:r>
    </w:p>
    <w:p w14:paraId="1919132D" w14:textId="77777777" w:rsidR="006D4648" w:rsidRDefault="006D4648" w:rsidP="006D4648">
      <w:pPr>
        <w:jc w:val="both"/>
      </w:pPr>
    </w:p>
    <w:p w14:paraId="72015A2B" w14:textId="7C0C7AB9" w:rsidR="006D4648" w:rsidRDefault="008B6963" w:rsidP="00C035EA">
      <w:pPr>
        <w:jc w:val="both"/>
      </w:pPr>
      <w:r>
        <w:t>En attendant Godot, i</w:t>
      </w:r>
      <w:r w:rsidR="006D4648">
        <w:t xml:space="preserve">l nous semble qu’il est possible d’éviter </w:t>
      </w:r>
      <w:r>
        <w:t xml:space="preserve">les </w:t>
      </w:r>
      <w:r w:rsidR="006D4648">
        <w:t>conséquences absurdes évoquées plus haut en repensant notre théorie des nullités</w:t>
      </w:r>
      <w:r w:rsidR="006D4648" w:rsidRPr="00013D0F">
        <w:t xml:space="preserve"> </w:t>
      </w:r>
      <w:r w:rsidR="006D4648">
        <w:t xml:space="preserve">à droit constant. En effet, on va le voir, le caractère automatique de la sanction de nullité en cas de violation d’une norme d’ordre public n’est nullement imposé par les textes et </w:t>
      </w:r>
      <w:r w:rsidR="00C035EA">
        <w:t xml:space="preserve">trahit la pensée de </w:t>
      </w:r>
      <w:r w:rsidR="006D4648">
        <w:t>celui qui a le plus influencé notre théorie moderne des nullités, à savoir René Japiot</w:t>
      </w:r>
      <w:r w:rsidR="00777660">
        <w:rPr>
          <w:rStyle w:val="Marquenotebasdepage"/>
          <w:rFonts w:ascii="Times New Roman" w:hAnsi="Times New Roman"/>
          <w:lang w:val="fr-BE"/>
        </w:rPr>
        <w:footnoteReference w:id="60"/>
      </w:r>
      <w:r w:rsidR="006D4648">
        <w:t xml:space="preserve">. </w:t>
      </w:r>
    </w:p>
    <w:p w14:paraId="7CEC2CAB" w14:textId="77777777" w:rsidR="00BF456D" w:rsidRDefault="00BF456D" w:rsidP="005E722F">
      <w:pPr>
        <w:jc w:val="both"/>
      </w:pPr>
    </w:p>
    <w:p w14:paraId="3373C45F" w14:textId="0A3857F6" w:rsidR="005E722F" w:rsidRPr="00E67A43" w:rsidRDefault="00440664" w:rsidP="006D4648">
      <w:pPr>
        <w:spacing w:after="200"/>
        <w:jc w:val="both"/>
        <w:rPr>
          <w:rFonts w:ascii="Times New Roman" w:eastAsia="Calibri"/>
          <w:i/>
        </w:rPr>
      </w:pPr>
      <w:r w:rsidRPr="00E67A43">
        <w:rPr>
          <w:rFonts w:ascii="Times New Roman" w:eastAsia="Calibri"/>
          <w:i/>
        </w:rPr>
        <w:t>§</w:t>
      </w:r>
      <w:r w:rsidRPr="00E67A43">
        <w:rPr>
          <w:rFonts w:ascii="Times New Roman" w:eastAsia="Calibri"/>
          <w:i/>
        </w:rPr>
        <w:t>2. Le</w:t>
      </w:r>
      <w:r w:rsidR="002F3E11" w:rsidRPr="00E67A43">
        <w:rPr>
          <w:rFonts w:ascii="Times New Roman" w:eastAsia="Calibri"/>
          <w:i/>
        </w:rPr>
        <w:t xml:space="preserve"> retour aux sources</w:t>
      </w:r>
    </w:p>
    <w:p w14:paraId="5CBFF757" w14:textId="3D193091" w:rsidR="00120DD5" w:rsidRPr="00883903" w:rsidRDefault="00E67A43" w:rsidP="001E437E">
      <w:pPr>
        <w:jc w:val="both"/>
      </w:pPr>
      <w:r>
        <w:rPr>
          <w:b/>
        </w:rPr>
        <w:t>1</w:t>
      </w:r>
      <w:r w:rsidR="003F06AA">
        <w:rPr>
          <w:b/>
        </w:rPr>
        <w:t>6</w:t>
      </w:r>
      <w:r w:rsidR="006D4648" w:rsidRPr="006D4648">
        <w:rPr>
          <w:b/>
        </w:rPr>
        <w:t xml:space="preserve">. - </w:t>
      </w:r>
      <w:r w:rsidR="002F3E11">
        <w:rPr>
          <w:b/>
        </w:rPr>
        <w:t>Les</w:t>
      </w:r>
      <w:r w:rsidR="006D4648" w:rsidRPr="006D4648">
        <w:rPr>
          <w:b/>
        </w:rPr>
        <w:t xml:space="preserve"> sources</w:t>
      </w:r>
      <w:r w:rsidR="002F3E11">
        <w:rPr>
          <w:b/>
        </w:rPr>
        <w:t xml:space="preserve"> officielles</w:t>
      </w:r>
      <w:r w:rsidR="00120DD5" w:rsidRPr="006D4648">
        <w:rPr>
          <w:b/>
        </w:rPr>
        <w:t>.</w:t>
      </w:r>
      <w:r w:rsidR="00120DD5">
        <w:t xml:space="preserve"> </w:t>
      </w:r>
      <w:r w:rsidR="001E437E">
        <w:t>Il est généralement enseigné que la théorie classique du 19</w:t>
      </w:r>
      <w:r w:rsidR="001E437E" w:rsidRPr="001E437E">
        <w:rPr>
          <w:vertAlign w:val="superscript"/>
        </w:rPr>
        <w:t>ème</w:t>
      </w:r>
      <w:r w:rsidR="001E437E">
        <w:t xml:space="preserve"> siècle aurait succédé </w:t>
      </w:r>
      <w:r w:rsidR="00120DD5">
        <w:t>au régime confus des nullités d</w:t>
      </w:r>
      <w:r w:rsidR="001E437E">
        <w:t>e</w:t>
      </w:r>
      <w:r w:rsidR="00120DD5">
        <w:t xml:space="preserve"> l’ancien droit, </w:t>
      </w:r>
      <w:r w:rsidR="001E437E">
        <w:t>en procédant à une sorte d’</w:t>
      </w:r>
      <w:r w:rsidR="00120DD5">
        <w:t xml:space="preserve">anthropomorphisation du contrat, </w:t>
      </w:r>
      <w:r w:rsidR="001E437E">
        <w:t>considéré comme</w:t>
      </w:r>
      <w:r w:rsidR="00120DD5">
        <w:t xml:space="preserve"> </w:t>
      </w:r>
      <w:r w:rsidR="001E437E">
        <w:t>u</w:t>
      </w:r>
      <w:r w:rsidR="00120DD5">
        <w:t>n organisme vivant. Distinguant selon la gravité du vice (</w:t>
      </w:r>
      <w:r w:rsidR="001E437E">
        <w:t>ou de la maladie)</w:t>
      </w:r>
      <w:r w:rsidR="00120DD5">
        <w:t xml:space="preserve">, la doctrine aurait substitué, à la grande variété des nullités héritées du droit antérieur au Code civil, une </w:t>
      </w:r>
      <w:r w:rsidR="00120DD5" w:rsidRPr="006D54ED">
        <w:rPr>
          <w:i/>
        </w:rPr>
        <w:t>summa divisio</w:t>
      </w:r>
      <w:r w:rsidR="00120DD5">
        <w:t xml:space="preserve"> entre les actes nuls de plein droit (nullités absolues), lorsque le vice atteint une des conditions d’existence du contrat (tels le consentement, l’objet, la cause ou certaines formes solennelles), et les actes annulables (nullité relatives), lorsque le vice consiste en une imperfection de certaines conditions de formation du contrat (incapac</w:t>
      </w:r>
      <w:r w:rsidR="001E437E">
        <w:t xml:space="preserve">ité, vices de consentement). L’importance </w:t>
      </w:r>
      <w:r w:rsidR="00120DD5">
        <w:t xml:space="preserve">de l’adage </w:t>
      </w:r>
      <w:r w:rsidR="00120DD5">
        <w:rPr>
          <w:rFonts w:ascii="Times New Roman" w:hAnsi="Times New Roman"/>
          <w:lang w:val="fr-BE"/>
        </w:rPr>
        <w:t xml:space="preserve">« pas de nullité sans texte », qui ne tolérait pas d’exception en matière de mariage, </w:t>
      </w:r>
      <w:r w:rsidR="001E437E">
        <w:rPr>
          <w:rFonts w:ascii="Times New Roman" w:hAnsi="Times New Roman"/>
          <w:lang w:val="fr-BE"/>
        </w:rPr>
        <w:t>amena</w:t>
      </w:r>
      <w:r w:rsidR="00120DD5">
        <w:rPr>
          <w:rFonts w:ascii="Times New Roman" w:hAnsi="Times New Roman"/>
          <w:lang w:val="fr-BE"/>
        </w:rPr>
        <w:t xml:space="preserve"> la doctrine à élaborer la notion d’inexistence afin de résoudre le problème du </w:t>
      </w:r>
      <w:r w:rsidR="00120DD5" w:rsidRPr="001B0FC3">
        <w:rPr>
          <w:rFonts w:ascii="Times New Roman" w:hAnsi="Times New Roman"/>
          <w:lang w:val="fr-BE"/>
        </w:rPr>
        <w:t xml:space="preserve">mariage entre déments et </w:t>
      </w:r>
      <w:r w:rsidR="00120DD5" w:rsidRPr="001B0FC3">
        <w:rPr>
          <w:rFonts w:ascii="Times New Roman" w:hAnsi="Times New Roman"/>
          <w:lang w:val="fr-BE"/>
        </w:rPr>
        <w:lastRenderedPageBreak/>
        <w:t>entre personnes de même sexe</w:t>
      </w:r>
      <w:r w:rsidR="00120DD5">
        <w:rPr>
          <w:rFonts w:ascii="Times New Roman" w:hAnsi="Times New Roman"/>
          <w:lang w:val="fr-BE"/>
        </w:rPr>
        <w:t>, qui</w:t>
      </w:r>
      <w:r w:rsidR="00120DD5" w:rsidRPr="001B0FC3">
        <w:rPr>
          <w:rFonts w:ascii="Times New Roman" w:hAnsi="Times New Roman"/>
          <w:lang w:val="fr-BE"/>
        </w:rPr>
        <w:t> n’était pas frappé de nullité</w:t>
      </w:r>
      <w:r w:rsidR="00120DD5">
        <w:rPr>
          <w:rFonts w:ascii="Times New Roman" w:hAnsi="Times New Roman"/>
          <w:lang w:val="fr-BE"/>
        </w:rPr>
        <w:t xml:space="preserve"> par le Code civil</w:t>
      </w:r>
      <w:r w:rsidR="00120DD5" w:rsidRPr="001B0FC3">
        <w:rPr>
          <w:rStyle w:val="Marquenotebasdepage"/>
          <w:rFonts w:ascii="Times New Roman" w:hAnsi="Times New Roman"/>
          <w:lang w:val="fr-BE"/>
        </w:rPr>
        <w:footnoteReference w:id="61"/>
      </w:r>
      <w:r w:rsidR="00120DD5">
        <w:rPr>
          <w:rFonts w:ascii="Times New Roman" w:hAnsi="Times New Roman"/>
          <w:lang w:val="fr-BE"/>
        </w:rPr>
        <w:t>. Il en résultait une triple catégorie : les nullités relatives, les nullités absolues et les inexistences, selon la gravité du vice affectant l’acte juridique</w:t>
      </w:r>
      <w:r w:rsidR="00120DD5" w:rsidRPr="001B0FC3">
        <w:rPr>
          <w:rStyle w:val="Marquenotebasdepage"/>
          <w:rFonts w:ascii="Times New Roman" w:hAnsi="Times New Roman"/>
          <w:lang w:val="fr-BE"/>
        </w:rPr>
        <w:footnoteReference w:id="62"/>
      </w:r>
      <w:r w:rsidR="00120DD5">
        <w:rPr>
          <w:rFonts w:ascii="Times New Roman" w:hAnsi="Times New Roman"/>
          <w:lang w:val="fr-BE"/>
        </w:rPr>
        <w:t xml:space="preserve">. </w:t>
      </w:r>
      <w:r w:rsidR="001E437E">
        <w:rPr>
          <w:rFonts w:ascii="Times New Roman" w:hAnsi="Times New Roman"/>
          <w:lang w:val="fr-BE"/>
        </w:rPr>
        <w:t xml:space="preserve">Le succès de l’inexistence fut tel qu’elle finit par dépasser </w:t>
      </w:r>
      <w:r w:rsidR="00120DD5">
        <w:rPr>
          <w:rFonts w:ascii="Times New Roman" w:hAnsi="Times New Roman"/>
          <w:lang w:val="fr-BE"/>
        </w:rPr>
        <w:t xml:space="preserve">la matière du mariage et absorber la catégorie des </w:t>
      </w:r>
      <w:r w:rsidR="00120DD5" w:rsidRPr="001B0FC3">
        <w:rPr>
          <w:rFonts w:ascii="Times New Roman" w:hAnsi="Times New Roman"/>
          <w:lang w:val="fr-BE"/>
        </w:rPr>
        <w:t>nullités absolues</w:t>
      </w:r>
      <w:r w:rsidR="00120DD5" w:rsidRPr="001B0FC3">
        <w:rPr>
          <w:rStyle w:val="Marquenotebasdepage"/>
          <w:rFonts w:ascii="Times New Roman" w:hAnsi="Times New Roman"/>
          <w:lang w:val="fr-BE"/>
        </w:rPr>
        <w:footnoteReference w:id="63"/>
      </w:r>
      <w:r w:rsidR="00120DD5">
        <w:rPr>
          <w:rFonts w:ascii="Times New Roman" w:hAnsi="Times New Roman"/>
          <w:lang w:val="fr-BE"/>
        </w:rPr>
        <w:t xml:space="preserve">. </w:t>
      </w:r>
    </w:p>
    <w:p w14:paraId="4B80B9CB" w14:textId="77777777" w:rsidR="00120DD5" w:rsidRDefault="00120DD5" w:rsidP="00120DD5">
      <w:pPr>
        <w:jc w:val="both"/>
      </w:pPr>
    </w:p>
    <w:p w14:paraId="24647DE2" w14:textId="5FC424BF" w:rsidR="00120DD5" w:rsidRPr="00BE56EA" w:rsidRDefault="00120DD5" w:rsidP="00120DD5">
      <w:pPr>
        <w:jc w:val="both"/>
      </w:pPr>
      <w:r>
        <w:t>Grâce essentiellement à la thèse de doctorat de René Japiot, publiée en 1909, la théorie moderne des nullités aurait émergé au début du 20</w:t>
      </w:r>
      <w:r w:rsidRPr="001C6EA9">
        <w:rPr>
          <w:vertAlign w:val="superscript"/>
        </w:rPr>
        <w:t>ème</w:t>
      </w:r>
      <w:r>
        <w:t xml:space="preserve"> siècle, abandonnant l’image de l’acte-organisme et le critère de la gravité du vice pour le remplacer par celui de l’intérêt en jeu. Selon cette théorie, importée en Belgique par De Page, la nullité n’est plus considérée comme une réalité objective mais comme la sanction d’un vice </w:t>
      </w:r>
      <w:r w:rsidRPr="001B0FC3">
        <w:rPr>
          <w:rFonts w:ascii="Times New Roman" w:hAnsi="Times New Roman"/>
          <w:lang w:val="fr-BE"/>
        </w:rPr>
        <w:t xml:space="preserve">affectant un </w:t>
      </w:r>
      <w:r>
        <w:rPr>
          <w:rFonts w:ascii="Times New Roman" w:hAnsi="Times New Roman"/>
          <w:lang w:val="fr-BE"/>
        </w:rPr>
        <w:t>contrat</w:t>
      </w:r>
      <w:r w:rsidRPr="001B0FC3">
        <w:rPr>
          <w:rFonts w:ascii="Times New Roman" w:hAnsi="Times New Roman"/>
          <w:lang w:val="fr-BE"/>
        </w:rPr>
        <w:t xml:space="preserve"> depuis sa formation</w:t>
      </w:r>
      <w:r>
        <w:rPr>
          <w:rFonts w:ascii="Times New Roman" w:hAnsi="Times New Roman"/>
          <w:lang w:val="fr-BE"/>
        </w:rPr>
        <w:t xml:space="preserve"> et qui doit être prononcée par un juge. </w:t>
      </w:r>
      <w:r>
        <w:t>Logiquement, la catégorie de l’inexistence tend, dans cette conception, à disparaître</w:t>
      </w:r>
      <w:r w:rsidRPr="001B0FC3">
        <w:rPr>
          <w:rStyle w:val="Marquenotebasdepage"/>
          <w:rFonts w:ascii="Times New Roman" w:hAnsi="Times New Roman"/>
          <w:lang w:val="fr-BE"/>
        </w:rPr>
        <w:footnoteReference w:id="64"/>
      </w:r>
      <w:r>
        <w:t>. C’est de Japiot que vient l’expression selon laquelle la nullité est un « droit de critique » de son titulaire, à savoir toute personne ayant un intérêt, en cas de nullité absolue, et la personne dont les intérêts sont protégés par la règle, en cas de nullité relative</w:t>
      </w:r>
      <w:r>
        <w:rPr>
          <w:rStyle w:val="Marquenotebasdepage"/>
        </w:rPr>
        <w:footnoteReference w:id="65"/>
      </w:r>
      <w:r>
        <w:t xml:space="preserve">. </w:t>
      </w:r>
    </w:p>
    <w:p w14:paraId="3FEC1431" w14:textId="77777777" w:rsidR="00A274DF" w:rsidRDefault="00A274DF" w:rsidP="00120DD5">
      <w:pPr>
        <w:jc w:val="both"/>
      </w:pPr>
    </w:p>
    <w:p w14:paraId="2FE2A8EE" w14:textId="34795903" w:rsidR="00A274DF" w:rsidRDefault="00E67A43" w:rsidP="001E437E">
      <w:pPr>
        <w:jc w:val="both"/>
        <w:rPr>
          <w:rFonts w:ascii="Times New Roman" w:hAnsi="Times New Roman"/>
          <w:lang w:val="fr-BE"/>
        </w:rPr>
      </w:pPr>
      <w:r>
        <w:rPr>
          <w:rFonts w:ascii="Times New Roman" w:hAnsi="Times New Roman"/>
          <w:b/>
          <w:lang w:val="fr-BE"/>
        </w:rPr>
        <w:t>1</w:t>
      </w:r>
      <w:r w:rsidR="003F06AA">
        <w:rPr>
          <w:rFonts w:ascii="Times New Roman" w:hAnsi="Times New Roman"/>
          <w:b/>
          <w:lang w:val="fr-BE"/>
        </w:rPr>
        <w:t>7</w:t>
      </w:r>
      <w:r w:rsidR="006D4648" w:rsidRPr="006D4648">
        <w:rPr>
          <w:rFonts w:ascii="Times New Roman" w:hAnsi="Times New Roman"/>
          <w:b/>
          <w:lang w:val="fr-BE"/>
        </w:rPr>
        <w:t xml:space="preserve">. - Une nouvelle lecture. </w:t>
      </w:r>
      <w:r w:rsidR="00A274DF">
        <w:rPr>
          <w:rFonts w:ascii="Times New Roman" w:hAnsi="Times New Roman"/>
          <w:lang w:val="fr-BE"/>
        </w:rPr>
        <w:t xml:space="preserve">Dans un article </w:t>
      </w:r>
      <w:r w:rsidR="001E437E">
        <w:rPr>
          <w:rFonts w:ascii="Times New Roman" w:hAnsi="Times New Roman"/>
          <w:lang w:val="fr-BE"/>
        </w:rPr>
        <w:t>passionnant</w:t>
      </w:r>
      <w:r w:rsidR="00A274DF">
        <w:rPr>
          <w:rFonts w:ascii="Times New Roman" w:hAnsi="Times New Roman"/>
          <w:lang w:val="fr-BE"/>
        </w:rPr>
        <w:t>, A. Posez montre que no</w:t>
      </w:r>
      <w:r w:rsidR="001E437E">
        <w:rPr>
          <w:rFonts w:ascii="Times New Roman" w:hAnsi="Times New Roman"/>
          <w:lang w:val="fr-BE"/>
        </w:rPr>
        <w:t xml:space="preserve">us </w:t>
      </w:r>
      <w:r w:rsidR="00A274DF">
        <w:rPr>
          <w:rFonts w:ascii="Times New Roman" w:hAnsi="Times New Roman"/>
          <w:lang w:val="fr-BE"/>
        </w:rPr>
        <w:t xml:space="preserve">héritons essentiellement </w:t>
      </w:r>
      <w:r w:rsidR="001E437E">
        <w:rPr>
          <w:rFonts w:ascii="Times New Roman" w:hAnsi="Times New Roman"/>
          <w:lang w:val="fr-BE"/>
        </w:rPr>
        <w:t xml:space="preserve">cette version officielle de l’histoire du droit des nullités </w:t>
      </w:r>
      <w:r w:rsidR="00A274DF">
        <w:rPr>
          <w:rFonts w:ascii="Times New Roman" w:hAnsi="Times New Roman"/>
          <w:lang w:val="fr-BE"/>
        </w:rPr>
        <w:t xml:space="preserve">de la thèse de Japiot </w:t>
      </w:r>
      <w:r w:rsidR="001E437E">
        <w:rPr>
          <w:rFonts w:ascii="Times New Roman" w:hAnsi="Times New Roman"/>
          <w:lang w:val="fr-BE"/>
        </w:rPr>
        <w:t xml:space="preserve">qui </w:t>
      </w:r>
      <w:r w:rsidR="00A274DF">
        <w:rPr>
          <w:rFonts w:ascii="Times New Roman" w:hAnsi="Times New Roman"/>
          <w:lang w:val="fr-BE"/>
        </w:rPr>
        <w:t>doi</w:t>
      </w:r>
      <w:r w:rsidR="001E437E">
        <w:rPr>
          <w:rFonts w:ascii="Times New Roman" w:hAnsi="Times New Roman"/>
          <w:lang w:val="fr-BE"/>
        </w:rPr>
        <w:t>t être, dans une certaine mesure, nuancée. Posez</w:t>
      </w:r>
      <w:r w:rsidR="00A274DF">
        <w:rPr>
          <w:rFonts w:ascii="Times New Roman" w:hAnsi="Times New Roman"/>
          <w:lang w:val="fr-BE"/>
        </w:rPr>
        <w:t xml:space="preserve"> conteste tout d’abord la nouveauté de la </w:t>
      </w:r>
      <w:r w:rsidR="00A274DF" w:rsidRPr="00301A2A">
        <w:rPr>
          <w:rFonts w:ascii="Times New Roman" w:hAnsi="Times New Roman"/>
          <w:i/>
          <w:lang w:val="fr-BE"/>
        </w:rPr>
        <w:t>summa divisio</w:t>
      </w:r>
      <w:r w:rsidR="00A274DF">
        <w:rPr>
          <w:rFonts w:ascii="Times New Roman" w:hAnsi="Times New Roman"/>
          <w:lang w:val="fr-BE"/>
        </w:rPr>
        <w:t xml:space="preserve"> de la théorie classique, dès lors que la distinction entre nullités absolues, opérant de plein droit, et relatives, exigeant l’introduction d’une action, était devenue banale au 18</w:t>
      </w:r>
      <w:r w:rsidR="00A274DF" w:rsidRPr="00C1330A">
        <w:rPr>
          <w:rFonts w:ascii="Times New Roman" w:hAnsi="Times New Roman"/>
          <w:vertAlign w:val="superscript"/>
          <w:lang w:val="fr-BE"/>
        </w:rPr>
        <w:t>ème</w:t>
      </w:r>
      <w:r w:rsidR="00A274DF">
        <w:rPr>
          <w:rFonts w:ascii="Times New Roman" w:hAnsi="Times New Roman"/>
          <w:lang w:val="fr-BE"/>
        </w:rPr>
        <w:t xml:space="preserve"> siècle et n’a</w:t>
      </w:r>
      <w:r w:rsidR="001E437E">
        <w:rPr>
          <w:rFonts w:ascii="Times New Roman" w:hAnsi="Times New Roman"/>
          <w:lang w:val="fr-BE"/>
        </w:rPr>
        <w:t>urait</w:t>
      </w:r>
      <w:r w:rsidR="00A274DF">
        <w:rPr>
          <w:rFonts w:ascii="Times New Roman" w:hAnsi="Times New Roman"/>
          <w:lang w:val="fr-BE"/>
        </w:rPr>
        <w:t xml:space="preserve"> certainement pas, comme l’avance Japiot, été créée de toutes pièces au 19</w:t>
      </w:r>
      <w:r w:rsidR="00A274DF" w:rsidRPr="000B02B0">
        <w:rPr>
          <w:rFonts w:ascii="Times New Roman" w:hAnsi="Times New Roman"/>
          <w:vertAlign w:val="superscript"/>
          <w:lang w:val="fr-BE"/>
        </w:rPr>
        <w:t>ème</w:t>
      </w:r>
      <w:r w:rsidR="00A274DF">
        <w:rPr>
          <w:rFonts w:ascii="Times New Roman" w:hAnsi="Times New Roman"/>
          <w:lang w:val="fr-BE"/>
        </w:rPr>
        <w:t xml:space="preserve"> siècle. Il souligne ensuite que, même après l’adoption du Code civil, la doctrine continuait, comme dans l’ancien droit, à multiplier les distinctions entre nullités légales et naturelles, formelles et substantielles, textuelles et virtuelles, péremptoires et comminatoires, continues et passagères, extrinsèques et intrinsèques, d’ordre public et d’intérêts privés, de plein droit et par voie d’actions</w:t>
      </w:r>
      <w:r w:rsidR="00A274DF">
        <w:rPr>
          <w:rStyle w:val="Marquenotebasdepage"/>
          <w:rFonts w:ascii="Times New Roman" w:hAnsi="Times New Roman"/>
          <w:lang w:val="fr-BE"/>
        </w:rPr>
        <w:footnoteReference w:id="66"/>
      </w:r>
      <w:r w:rsidR="00A274DF">
        <w:rPr>
          <w:rFonts w:ascii="Times New Roman" w:hAnsi="Times New Roman"/>
          <w:lang w:val="fr-BE"/>
        </w:rPr>
        <w:t xml:space="preserve">. </w:t>
      </w:r>
    </w:p>
    <w:p w14:paraId="741AD0FD" w14:textId="77777777" w:rsidR="00A274DF" w:rsidRDefault="00A274DF" w:rsidP="00A274DF">
      <w:pPr>
        <w:jc w:val="both"/>
        <w:rPr>
          <w:rFonts w:ascii="Times New Roman" w:hAnsi="Times New Roman"/>
          <w:lang w:val="fr-BE"/>
        </w:rPr>
      </w:pPr>
    </w:p>
    <w:p w14:paraId="40DFD531" w14:textId="25777D9E" w:rsidR="00A274DF" w:rsidRDefault="00A274DF" w:rsidP="00A274DF">
      <w:pPr>
        <w:jc w:val="both"/>
        <w:rPr>
          <w:rFonts w:ascii="Times New Roman" w:hAnsi="Times New Roman"/>
          <w:lang w:val="fr-BE"/>
        </w:rPr>
      </w:pPr>
      <w:r>
        <w:rPr>
          <w:rFonts w:ascii="Times New Roman" w:hAnsi="Times New Roman"/>
          <w:lang w:val="fr-BE"/>
        </w:rPr>
        <w:t>Il combat, enfin, l’idée d’une rupture entre une théorie classique, qui diviserait les nullités selon la gravité du vice de l’acte, et la théorie moderne qui, grâce à Japiot, y aurait substitué le critère de l’intérêt protégé. Il dénonce ainsi le « Mythe de l’acte-organisme », qui constituait tout au plus une métaphore pour certains auteurs et, références à l’appui, démontre que le critère de l’intérêt protégé était déjà présent chez les auteurs du 19</w:t>
      </w:r>
      <w:r w:rsidRPr="000B02B0">
        <w:rPr>
          <w:rFonts w:ascii="Times New Roman" w:hAnsi="Times New Roman"/>
          <w:vertAlign w:val="superscript"/>
          <w:lang w:val="fr-BE"/>
        </w:rPr>
        <w:t>ème</w:t>
      </w:r>
      <w:r>
        <w:rPr>
          <w:rFonts w:ascii="Times New Roman" w:hAnsi="Times New Roman"/>
          <w:lang w:val="fr-BE"/>
        </w:rPr>
        <w:t xml:space="preserve"> siècle, comme Demolombe, et même chez des auteurs plus anciens comme Alciat et Argenté, aux 16</w:t>
      </w:r>
      <w:r w:rsidRPr="000B02B0">
        <w:rPr>
          <w:rFonts w:ascii="Times New Roman" w:hAnsi="Times New Roman"/>
          <w:vertAlign w:val="superscript"/>
          <w:lang w:val="fr-BE"/>
        </w:rPr>
        <w:t>ème</w:t>
      </w:r>
      <w:r>
        <w:rPr>
          <w:rFonts w:ascii="Times New Roman" w:hAnsi="Times New Roman"/>
          <w:lang w:val="fr-BE"/>
        </w:rPr>
        <w:t xml:space="preserve"> et 17</w:t>
      </w:r>
      <w:r w:rsidRPr="000B02B0">
        <w:rPr>
          <w:rFonts w:ascii="Times New Roman" w:hAnsi="Times New Roman"/>
          <w:vertAlign w:val="superscript"/>
          <w:lang w:val="fr-BE"/>
        </w:rPr>
        <w:t>ème</w:t>
      </w:r>
      <w:r>
        <w:rPr>
          <w:rFonts w:ascii="Times New Roman" w:hAnsi="Times New Roman"/>
          <w:vertAlign w:val="superscript"/>
          <w:lang w:val="fr-BE"/>
        </w:rPr>
        <w:t xml:space="preserve">  </w:t>
      </w:r>
      <w:r>
        <w:rPr>
          <w:rFonts w:ascii="Times New Roman" w:hAnsi="Times New Roman"/>
          <w:lang w:val="fr-BE"/>
        </w:rPr>
        <w:t>siècles</w:t>
      </w:r>
      <w:r>
        <w:rPr>
          <w:rStyle w:val="Marquenotebasdepage"/>
          <w:rFonts w:ascii="Times New Roman" w:hAnsi="Times New Roman"/>
          <w:lang w:val="fr-BE"/>
        </w:rPr>
        <w:footnoteReference w:id="67"/>
      </w:r>
      <w:r>
        <w:rPr>
          <w:rFonts w:ascii="Times New Roman" w:hAnsi="Times New Roman"/>
          <w:vertAlign w:val="superscript"/>
          <w:lang w:val="fr-BE"/>
        </w:rPr>
        <w:t xml:space="preserve"> </w:t>
      </w:r>
      <w:r>
        <w:rPr>
          <w:rFonts w:ascii="Times New Roman" w:hAnsi="Times New Roman"/>
          <w:lang w:val="fr-BE"/>
        </w:rPr>
        <w:t xml:space="preserve">. </w:t>
      </w:r>
    </w:p>
    <w:p w14:paraId="69813096" w14:textId="5F2F4B23" w:rsidR="005E722F" w:rsidRDefault="005E722F" w:rsidP="00A274DF">
      <w:pPr>
        <w:jc w:val="both"/>
        <w:rPr>
          <w:rFonts w:ascii="Times New Roman" w:hAnsi="Times New Roman"/>
          <w:lang w:val="fr-BE"/>
        </w:rPr>
      </w:pPr>
    </w:p>
    <w:p w14:paraId="00791A8D" w14:textId="77777777" w:rsidR="006D4648" w:rsidRDefault="005E722F" w:rsidP="005E722F">
      <w:pPr>
        <w:jc w:val="both"/>
        <w:rPr>
          <w:rFonts w:ascii="Times New Roman" w:hAnsi="Times New Roman"/>
          <w:lang w:val="fr-BE"/>
        </w:rPr>
      </w:pPr>
      <w:r w:rsidRPr="00041EB1">
        <w:rPr>
          <w:rFonts w:ascii="Times New Roman" w:hAnsi="Times New Roman"/>
          <w:lang w:val="fr-BE"/>
        </w:rPr>
        <w:t xml:space="preserve">Ce que montrait déjà la succession des deux théories, classique et moderne, et que confirme de manière éclatante l’analyse d’A. Posez, c’est que notre régime actuel des nullités est éminemment tributaire de son évolution historique, tant doctrinale que jurisprudentielle, et </w:t>
      </w:r>
      <w:r w:rsidRPr="00041EB1">
        <w:rPr>
          <w:rFonts w:ascii="Times New Roman" w:hAnsi="Times New Roman"/>
          <w:lang w:val="fr-BE"/>
        </w:rPr>
        <w:lastRenderedPageBreak/>
        <w:t xml:space="preserve">qu’il ne s’impose pas en raison d’une interprétation univoque des dispositions du Code civil qui n’ont, sur ces questions complexes mais fondamentales, jamais été modifiées. </w:t>
      </w:r>
    </w:p>
    <w:p w14:paraId="2603974D" w14:textId="77777777" w:rsidR="006D4648" w:rsidRDefault="006D4648" w:rsidP="005E722F">
      <w:pPr>
        <w:jc w:val="both"/>
        <w:rPr>
          <w:rFonts w:ascii="Times New Roman" w:hAnsi="Times New Roman"/>
          <w:lang w:val="fr-BE"/>
        </w:rPr>
      </w:pPr>
    </w:p>
    <w:p w14:paraId="56038BF9" w14:textId="26001F91" w:rsidR="005E722F" w:rsidRPr="00777660" w:rsidRDefault="00E67A43" w:rsidP="00777660">
      <w:pPr>
        <w:jc w:val="both"/>
        <w:rPr>
          <w:rFonts w:ascii="Times New Roman" w:hAnsi="Times New Roman"/>
          <w:lang w:val="fr-BE"/>
        </w:rPr>
      </w:pPr>
      <w:r>
        <w:rPr>
          <w:rFonts w:ascii="Times New Roman" w:hAnsi="Times New Roman"/>
          <w:b/>
          <w:lang w:val="fr-BE"/>
        </w:rPr>
        <w:t>1</w:t>
      </w:r>
      <w:r w:rsidR="003F06AA">
        <w:rPr>
          <w:rFonts w:ascii="Times New Roman" w:hAnsi="Times New Roman"/>
          <w:b/>
          <w:lang w:val="fr-BE"/>
        </w:rPr>
        <w:t>8</w:t>
      </w:r>
      <w:r w:rsidR="006D4648" w:rsidRPr="006D4648">
        <w:rPr>
          <w:rFonts w:ascii="Times New Roman" w:hAnsi="Times New Roman"/>
          <w:b/>
          <w:lang w:val="fr-BE"/>
        </w:rPr>
        <w:t>. – Un héritage tronqué.</w:t>
      </w:r>
      <w:r w:rsidR="006D4648">
        <w:rPr>
          <w:rFonts w:ascii="Times New Roman" w:hAnsi="Times New Roman"/>
          <w:lang w:val="fr-BE"/>
        </w:rPr>
        <w:t xml:space="preserve"> S</w:t>
      </w:r>
      <w:r w:rsidR="005E722F" w:rsidRPr="00041EB1">
        <w:rPr>
          <w:rFonts w:ascii="Times New Roman" w:hAnsi="Times New Roman"/>
          <w:lang w:val="fr-BE"/>
        </w:rPr>
        <w:t xml:space="preserve">i l’influence de la thèse de Japiot sur la théorie des nullités est incontestable, elle n’a toutefois été que partielle dès lors que la postérité n’a </w:t>
      </w:r>
      <w:r w:rsidR="00097812">
        <w:rPr>
          <w:rFonts w:ascii="Times New Roman" w:hAnsi="Times New Roman"/>
          <w:lang w:val="fr-BE"/>
        </w:rPr>
        <w:t>malheureusement pas</w:t>
      </w:r>
      <w:r w:rsidR="005E722F" w:rsidRPr="00041EB1">
        <w:rPr>
          <w:rFonts w:ascii="Times New Roman" w:hAnsi="Times New Roman"/>
          <w:lang w:val="fr-BE"/>
        </w:rPr>
        <w:t xml:space="preserve"> retenu l’importance qu’il attachait à la flexibilité du régime des nullités. Il insistait </w:t>
      </w:r>
      <w:r w:rsidR="00302BB3">
        <w:rPr>
          <w:rFonts w:ascii="Times New Roman" w:hAnsi="Times New Roman"/>
          <w:lang w:val="fr-BE"/>
        </w:rPr>
        <w:t xml:space="preserve">pourtant </w:t>
      </w:r>
      <w:r w:rsidR="005E722F" w:rsidRPr="00041EB1">
        <w:rPr>
          <w:lang w:val="nl-NL"/>
        </w:rPr>
        <w:t xml:space="preserve">sur la nécessité de tenir compte, non seulement du but de la règle mais également </w:t>
      </w:r>
      <w:r w:rsidR="005E722F">
        <w:rPr>
          <w:lang w:val="nl-NL"/>
        </w:rPr>
        <w:t>d</w:t>
      </w:r>
      <w:r w:rsidR="005E722F" w:rsidRPr="00041EB1">
        <w:rPr>
          <w:lang w:val="nl-NL"/>
        </w:rPr>
        <w:t>es « considérations spéciales qui doivent intervenir, suivant la nature du domaine juridique dans lequel la nullité est appelée à jouer, (…) suivant la nature des questions à résoudre</w:t>
      </w:r>
      <w:r w:rsidR="005E722F" w:rsidRPr="00041EB1">
        <w:t xml:space="preserve"> »</w:t>
      </w:r>
      <w:r w:rsidR="005E722F" w:rsidRPr="00041EB1">
        <w:rPr>
          <w:rStyle w:val="Marquenotebasdepage"/>
        </w:rPr>
        <w:footnoteReference w:id="68"/>
      </w:r>
      <w:r w:rsidR="005E722F" w:rsidRPr="00041EB1">
        <w:rPr>
          <w:lang w:val="nl-NL"/>
        </w:rPr>
        <w:t>.</w:t>
      </w:r>
      <w:r w:rsidR="005E722F" w:rsidRPr="00041EB1">
        <w:rPr>
          <w:rFonts w:ascii="Times New Roman" w:hAnsi="Times New Roman"/>
          <w:lang w:val="fr-BE"/>
        </w:rPr>
        <w:t xml:space="preserve"> Il</w:t>
      </w:r>
      <w:r w:rsidR="005E722F">
        <w:rPr>
          <w:rFonts w:ascii="Times New Roman" w:hAnsi="Times New Roman"/>
          <w:lang w:val="fr-BE"/>
        </w:rPr>
        <w:t xml:space="preserve"> ne</w:t>
      </w:r>
      <w:r w:rsidR="005E722F" w:rsidRPr="00041EB1">
        <w:rPr>
          <w:rFonts w:ascii="Times New Roman" w:hAnsi="Times New Roman"/>
          <w:lang w:val="fr-BE"/>
        </w:rPr>
        <w:t xml:space="preserve"> </w:t>
      </w:r>
      <w:r w:rsidR="005E722F">
        <w:rPr>
          <w:rFonts w:ascii="Times New Roman" w:hAnsi="Times New Roman"/>
          <w:lang w:val="fr-BE"/>
        </w:rPr>
        <w:t xml:space="preserve">fallait, selon lui, </w:t>
      </w:r>
      <w:r w:rsidR="005E722F" w:rsidRPr="00041EB1">
        <w:rPr>
          <w:rFonts w:ascii="Times New Roman" w:hAnsi="Times New Roman"/>
          <w:lang w:val="fr-BE"/>
        </w:rPr>
        <w:t>« envisager la nullité que comme un accessoire des règles juridiques », ne pas l’organiser « pour elle-même », mais « d’après sa nature e</w:t>
      </w:r>
      <w:r w:rsidR="005E722F">
        <w:rPr>
          <w:rFonts w:ascii="Times New Roman" w:hAnsi="Times New Roman"/>
          <w:lang w:val="fr-BE"/>
        </w:rPr>
        <w:t>t le but qu’il l’a fait créer »</w:t>
      </w:r>
      <w:r w:rsidR="00777660">
        <w:rPr>
          <w:rFonts w:ascii="Times New Roman" w:hAnsi="Times New Roman"/>
          <w:lang w:val="fr-BE"/>
        </w:rPr>
        <w:t xml:space="preserve"> et en tenant compte du « </w:t>
      </w:r>
      <w:r w:rsidR="00777660" w:rsidRPr="00777660">
        <w:rPr>
          <w:lang w:eastAsia="nl-NL"/>
        </w:rPr>
        <w:t>milieu où pratiquement elle intervient »</w:t>
      </w:r>
      <w:r w:rsidR="00777660" w:rsidRPr="00041EB1">
        <w:rPr>
          <w:rStyle w:val="Marquenotebasdepage"/>
        </w:rPr>
        <w:footnoteReference w:id="69"/>
      </w:r>
      <w:r w:rsidR="00777660">
        <w:t>.</w:t>
      </w:r>
    </w:p>
    <w:p w14:paraId="611DB416" w14:textId="77777777" w:rsidR="005E722F" w:rsidRDefault="005E722F" w:rsidP="005E722F">
      <w:pPr>
        <w:jc w:val="both"/>
        <w:rPr>
          <w:rFonts w:ascii="Times New Roman" w:hAnsi="Times New Roman"/>
          <w:lang w:val="fr-BE"/>
        </w:rPr>
      </w:pPr>
    </w:p>
    <w:p w14:paraId="4B9287A8" w14:textId="77777777" w:rsidR="005E722F" w:rsidRDefault="005E722F" w:rsidP="005E722F">
      <w:pPr>
        <w:jc w:val="both"/>
        <w:rPr>
          <w:rFonts w:ascii="Times New Roman" w:hAnsi="Times New Roman"/>
          <w:lang w:val="fr-BE"/>
        </w:rPr>
      </w:pPr>
      <w:r>
        <w:rPr>
          <w:rFonts w:ascii="Times New Roman" w:hAnsi="Times New Roman"/>
          <w:lang w:val="fr-BE"/>
        </w:rPr>
        <w:t xml:space="preserve">A sa suite, le </w:t>
      </w:r>
      <w:r w:rsidRPr="005F750A">
        <w:rPr>
          <w:rFonts w:ascii="Times New Roman" w:hAnsi="Times New Roman"/>
          <w:i/>
          <w:lang w:val="fr-BE"/>
        </w:rPr>
        <w:t>Répertoire pratique de droit belge</w:t>
      </w:r>
      <w:r>
        <w:rPr>
          <w:rFonts w:ascii="Times New Roman" w:hAnsi="Times New Roman"/>
          <w:lang w:val="fr-BE"/>
        </w:rPr>
        <w:t xml:space="preserve"> rappelait que la nullité ne constituait « pas une fin en soi mais un moyen » et avançait que c’était « l’erreur fondamentale de la doctrine du XIXe siècle d’avoir perdu de vue ce caractère accessoire de la nullité et de l’avoir, par un abus de la technique juridique, organisé </w:t>
      </w:r>
      <w:r w:rsidRPr="00883CED">
        <w:rPr>
          <w:rFonts w:ascii="Times New Roman" w:hAnsi="Times New Roman"/>
          <w:i/>
          <w:lang w:val="fr-BE"/>
        </w:rPr>
        <w:t>pour elle-même</w:t>
      </w:r>
      <w:r>
        <w:rPr>
          <w:rFonts w:ascii="Times New Roman" w:hAnsi="Times New Roman"/>
          <w:lang w:val="fr-BE"/>
        </w:rPr>
        <w:t>, sans égard pour sa fonction »</w:t>
      </w:r>
      <w:r>
        <w:rPr>
          <w:rStyle w:val="Marquenotebasdepage"/>
          <w:rFonts w:ascii="Times New Roman" w:hAnsi="Times New Roman"/>
          <w:lang w:val="fr-BE"/>
        </w:rPr>
        <w:footnoteReference w:id="70"/>
      </w:r>
      <w:r>
        <w:rPr>
          <w:rFonts w:ascii="Times New Roman" w:hAnsi="Times New Roman"/>
          <w:lang w:val="fr-BE"/>
        </w:rPr>
        <w:t xml:space="preserve">. </w:t>
      </w:r>
      <w:r>
        <w:t xml:space="preserve">Dans un article de 1962, Cl. Renard et E. Vieuxjean se ralliaient également à la thèse du juriste français. </w:t>
      </w:r>
      <w:r>
        <w:rPr>
          <w:rFonts w:ascii="Times New Roman" w:hAnsi="Times New Roman"/>
          <w:lang w:val="fr-BE"/>
        </w:rPr>
        <w:t>Ils écrivaient ainsi que les considérations relatives à la</w:t>
      </w:r>
      <w:r w:rsidRPr="001B0FC3">
        <w:rPr>
          <w:rFonts w:ascii="Times New Roman" w:hAnsi="Times New Roman"/>
          <w:lang w:val="fr-BE"/>
        </w:rPr>
        <w:t xml:space="preserve"> nature et </w:t>
      </w:r>
      <w:r>
        <w:rPr>
          <w:rFonts w:ascii="Times New Roman" w:hAnsi="Times New Roman"/>
          <w:lang w:val="fr-BE"/>
        </w:rPr>
        <w:t>au</w:t>
      </w:r>
      <w:r w:rsidRPr="001B0FC3">
        <w:rPr>
          <w:rFonts w:ascii="Times New Roman" w:hAnsi="Times New Roman"/>
          <w:lang w:val="fr-BE"/>
        </w:rPr>
        <w:t xml:space="preserve"> but de la règle sanctionnée</w:t>
      </w:r>
      <w:r>
        <w:rPr>
          <w:rFonts w:ascii="Times New Roman" w:hAnsi="Times New Roman"/>
          <w:lang w:val="fr-BE"/>
        </w:rPr>
        <w:t xml:space="preserve">, si elles étaient </w:t>
      </w:r>
      <w:r w:rsidRPr="001B0FC3">
        <w:rPr>
          <w:rFonts w:ascii="Times New Roman" w:hAnsi="Times New Roman"/>
          <w:lang w:val="fr-BE"/>
        </w:rPr>
        <w:t>primordiales,</w:t>
      </w:r>
      <w:r>
        <w:rPr>
          <w:rFonts w:ascii="Times New Roman" w:hAnsi="Times New Roman"/>
          <w:lang w:val="fr-BE"/>
        </w:rPr>
        <w:t xml:space="preserve"> ne devaient pas être les seules à présider à l’élaboration d’une théorie des nullités dès lors qu’il fallait également </w:t>
      </w:r>
      <w:r w:rsidRPr="001B0FC3">
        <w:rPr>
          <w:rFonts w:ascii="Times New Roman" w:hAnsi="Times New Roman"/>
          <w:lang w:val="fr-BE"/>
        </w:rPr>
        <w:t xml:space="preserve"> tenir compte aussi du </w:t>
      </w:r>
      <w:r>
        <w:rPr>
          <w:rFonts w:ascii="Times New Roman" w:hAnsi="Times New Roman"/>
          <w:lang w:val="fr-BE"/>
        </w:rPr>
        <w:t>« </w:t>
      </w:r>
      <w:r w:rsidRPr="001B0FC3">
        <w:rPr>
          <w:rFonts w:ascii="Times New Roman" w:hAnsi="Times New Roman"/>
          <w:lang w:val="fr-BE"/>
        </w:rPr>
        <w:t>milieu de fait où opère la sanction</w:t>
      </w:r>
      <w:r>
        <w:rPr>
          <w:rFonts w:ascii="Times New Roman" w:hAnsi="Times New Roman"/>
          <w:lang w:val="fr-BE"/>
        </w:rPr>
        <w:t> »</w:t>
      </w:r>
      <w:r w:rsidRPr="001B0FC3">
        <w:rPr>
          <w:rFonts w:ascii="Times New Roman" w:hAnsi="Times New Roman"/>
          <w:lang w:val="fr-BE"/>
        </w:rPr>
        <w:t xml:space="preserve">. </w:t>
      </w:r>
      <w:r>
        <w:rPr>
          <w:rFonts w:ascii="Times New Roman" w:hAnsi="Times New Roman"/>
          <w:lang w:val="fr-BE"/>
        </w:rPr>
        <w:t>Et de conclure : « </w:t>
      </w:r>
      <w:r w:rsidRPr="001B0FC3">
        <w:rPr>
          <w:rFonts w:ascii="Times New Roman" w:hAnsi="Times New Roman"/>
          <w:lang w:val="fr-BE"/>
        </w:rPr>
        <w:t>Quelle que soit son importance, le but ne doit pas être atteint à n’importe quel prix, car le remède pourrait être pire que le mal. Il faut confronter les intérêts antagonistes, plus ou moins respectables selon les circonstances »</w:t>
      </w:r>
      <w:r w:rsidRPr="001B0FC3">
        <w:rPr>
          <w:rStyle w:val="Marquenotebasdepage"/>
          <w:rFonts w:ascii="Times New Roman" w:hAnsi="Times New Roman"/>
          <w:lang w:val="fr-BE"/>
        </w:rPr>
        <w:footnoteReference w:id="71"/>
      </w:r>
      <w:r>
        <w:rPr>
          <w:rFonts w:ascii="Times New Roman" w:hAnsi="Times New Roman"/>
          <w:lang w:val="fr-BE"/>
        </w:rPr>
        <w:t xml:space="preserve">.  </w:t>
      </w:r>
    </w:p>
    <w:p w14:paraId="4F6B25CD" w14:textId="77777777" w:rsidR="005E722F" w:rsidRDefault="005E722F" w:rsidP="005E722F">
      <w:pPr>
        <w:jc w:val="both"/>
        <w:rPr>
          <w:rFonts w:ascii="Times New Roman" w:hAnsi="Times New Roman"/>
          <w:lang w:val="fr-BE"/>
        </w:rPr>
      </w:pPr>
    </w:p>
    <w:p w14:paraId="1A6BA5E5" w14:textId="1E61FAC5" w:rsidR="006D4648" w:rsidRDefault="005E722F" w:rsidP="00097812">
      <w:pPr>
        <w:jc w:val="both"/>
        <w:rPr>
          <w:rFonts w:ascii="Times New Roman" w:hAnsi="Times New Roman"/>
          <w:lang w:val="fr-BE"/>
        </w:rPr>
      </w:pPr>
      <w:r>
        <w:rPr>
          <w:rFonts w:ascii="Times New Roman" w:hAnsi="Times New Roman"/>
          <w:lang w:val="fr-BE"/>
        </w:rPr>
        <w:t xml:space="preserve">Force est toutefois de constater que la doctrine et </w:t>
      </w:r>
      <w:r w:rsidR="00097812">
        <w:rPr>
          <w:rFonts w:ascii="Times New Roman" w:hAnsi="Times New Roman"/>
          <w:lang w:val="fr-BE"/>
        </w:rPr>
        <w:t xml:space="preserve">la jurisprudence majoritaires récentes </w:t>
      </w:r>
      <w:r>
        <w:rPr>
          <w:rFonts w:ascii="Times New Roman" w:hAnsi="Times New Roman"/>
          <w:lang w:val="fr-BE"/>
        </w:rPr>
        <w:t>ont perdu de vu</w:t>
      </w:r>
      <w:r w:rsidR="00097812">
        <w:rPr>
          <w:rFonts w:ascii="Times New Roman" w:hAnsi="Times New Roman"/>
          <w:lang w:val="fr-BE"/>
        </w:rPr>
        <w:t xml:space="preserve">e ce caractère flexible de la sanction de la nullité et la nécessité de l’adapter au milieu de fait dans lequel elle doit opérer. </w:t>
      </w:r>
      <w:r>
        <w:rPr>
          <w:rFonts w:ascii="Times New Roman" w:hAnsi="Times New Roman"/>
          <w:lang w:val="fr-BE"/>
        </w:rPr>
        <w:t>Les effets pervers d’une telle rigidité ne sont pas anodins. En effet, alors que la logique voudrait qu’on qualifie d’abord une règle comme étant d’ordre public</w:t>
      </w:r>
      <w:r w:rsidRPr="001B0FC3">
        <w:rPr>
          <w:rFonts w:ascii="Times New Roman" w:hAnsi="Times New Roman"/>
          <w:lang w:val="fr-BE"/>
        </w:rPr>
        <w:t xml:space="preserve"> ou impérative </w:t>
      </w:r>
      <w:r>
        <w:rPr>
          <w:rFonts w:ascii="Times New Roman" w:hAnsi="Times New Roman"/>
          <w:lang w:val="fr-BE"/>
        </w:rPr>
        <w:t xml:space="preserve">avant d’en tirer les conséquences sur le plan du régime des nullités, plusieurs auteurs relèvent que, souvent, </w:t>
      </w:r>
      <w:r w:rsidRPr="001B0FC3">
        <w:rPr>
          <w:rFonts w:ascii="Times New Roman" w:hAnsi="Times New Roman"/>
          <w:lang w:val="fr-BE"/>
        </w:rPr>
        <w:t>« c’est la réflexion sur le régime de nullité le plus adéquat qui conduit à la qualification »</w:t>
      </w:r>
      <w:r w:rsidRPr="001B0FC3">
        <w:rPr>
          <w:rStyle w:val="Marquenotebasdepage"/>
          <w:rFonts w:ascii="Times New Roman" w:hAnsi="Times New Roman"/>
          <w:lang w:val="fr-BE"/>
        </w:rPr>
        <w:footnoteReference w:id="72"/>
      </w:r>
      <w:r>
        <w:rPr>
          <w:rFonts w:ascii="Times New Roman" w:hAnsi="Times New Roman"/>
          <w:lang w:val="fr-BE"/>
        </w:rPr>
        <w:t>. Les lignes qui suivent s’inscrivent résolument en faux contre un tel système</w:t>
      </w:r>
      <w:r w:rsidR="006D4648">
        <w:rPr>
          <w:rFonts w:ascii="Times New Roman" w:hAnsi="Times New Roman"/>
          <w:lang w:val="fr-BE"/>
        </w:rPr>
        <w:t xml:space="preserve"> et, plus particulièrement, contre la règle selon laquelle le juge doit, même d’office, annuler la convention conclue en violation d’une règle d’ordre public. </w:t>
      </w:r>
    </w:p>
    <w:p w14:paraId="4BCEA8C3" w14:textId="77777777" w:rsidR="006D4648" w:rsidRDefault="006D4648" w:rsidP="005E722F">
      <w:pPr>
        <w:jc w:val="both"/>
        <w:rPr>
          <w:rFonts w:ascii="Times New Roman" w:hAnsi="Times New Roman"/>
          <w:lang w:val="fr-BE"/>
        </w:rPr>
      </w:pPr>
    </w:p>
    <w:p w14:paraId="5C960748" w14:textId="1D7D9FFD" w:rsidR="005E722F" w:rsidRDefault="006D4648" w:rsidP="006D4648">
      <w:pPr>
        <w:jc w:val="both"/>
        <w:rPr>
          <w:rFonts w:ascii="Times New Roman" w:hAnsi="Times New Roman"/>
          <w:lang w:val="fr-BE"/>
        </w:rPr>
      </w:pPr>
      <w:r>
        <w:rPr>
          <w:rFonts w:ascii="Times New Roman" w:hAnsi="Times New Roman"/>
          <w:lang w:val="fr-BE"/>
        </w:rPr>
        <w:t xml:space="preserve">A cette fin, il nous paraît indispensable, d’une part, d’affiner la notion, galvaudée, d’ordre public </w:t>
      </w:r>
      <w:r w:rsidR="00097812">
        <w:rPr>
          <w:rFonts w:ascii="Times New Roman" w:hAnsi="Times New Roman"/>
          <w:lang w:val="fr-BE"/>
        </w:rPr>
        <w:t>et</w:t>
      </w:r>
      <w:r>
        <w:rPr>
          <w:rFonts w:ascii="Times New Roman" w:hAnsi="Times New Roman"/>
          <w:lang w:val="fr-BE"/>
        </w:rPr>
        <w:t xml:space="preserve"> d’en proposer une compréhension moins rigide (ch. II) et, d’autre part, de prendre au </w:t>
      </w:r>
      <w:r w:rsidR="00B01DAB">
        <w:rPr>
          <w:rFonts w:ascii="Times New Roman" w:hAnsi="Times New Roman"/>
          <w:lang w:val="fr-BE"/>
        </w:rPr>
        <w:t>sérieux une distinctio</w:t>
      </w:r>
      <w:r w:rsidR="00B21723">
        <w:rPr>
          <w:rFonts w:ascii="Times New Roman" w:hAnsi="Times New Roman"/>
          <w:lang w:val="fr-BE"/>
        </w:rPr>
        <w:t>n passée quelque peu inaperçue -</w:t>
      </w:r>
      <w:r w:rsidR="00B01DAB">
        <w:rPr>
          <w:rFonts w:ascii="Times New Roman" w:hAnsi="Times New Roman"/>
          <w:lang w:val="fr-BE"/>
        </w:rPr>
        <w:t xml:space="preserve"> celle entre nullité</w:t>
      </w:r>
      <w:r w:rsidR="00097812">
        <w:rPr>
          <w:rFonts w:ascii="Times New Roman" w:hAnsi="Times New Roman"/>
          <w:lang w:val="fr-BE"/>
        </w:rPr>
        <w:t>s</w:t>
      </w:r>
      <w:r w:rsidR="00B01DAB">
        <w:rPr>
          <w:rFonts w:ascii="Times New Roman" w:hAnsi="Times New Roman"/>
          <w:lang w:val="fr-BE"/>
        </w:rPr>
        <w:t xml:space="preserve"> textuelle</w:t>
      </w:r>
      <w:r w:rsidR="00097812">
        <w:rPr>
          <w:rFonts w:ascii="Times New Roman" w:hAnsi="Times New Roman"/>
          <w:lang w:val="fr-BE"/>
        </w:rPr>
        <w:t>s</w:t>
      </w:r>
      <w:r w:rsidR="00B01DAB">
        <w:rPr>
          <w:rFonts w:ascii="Times New Roman" w:hAnsi="Times New Roman"/>
          <w:lang w:val="fr-BE"/>
        </w:rPr>
        <w:t xml:space="preserve"> et </w:t>
      </w:r>
      <w:r w:rsidR="00B01DAB">
        <w:rPr>
          <w:rFonts w:ascii="Times New Roman" w:hAnsi="Times New Roman"/>
          <w:lang w:val="fr-BE"/>
        </w:rPr>
        <w:lastRenderedPageBreak/>
        <w:t>virtuelle</w:t>
      </w:r>
      <w:r w:rsidR="00097812">
        <w:rPr>
          <w:rFonts w:ascii="Times New Roman" w:hAnsi="Times New Roman"/>
          <w:lang w:val="fr-BE"/>
        </w:rPr>
        <w:t>s</w:t>
      </w:r>
      <w:r w:rsidR="00B21723">
        <w:rPr>
          <w:rFonts w:ascii="Times New Roman" w:hAnsi="Times New Roman"/>
          <w:lang w:val="fr-BE"/>
        </w:rPr>
        <w:t xml:space="preserve"> – pour défendre l’idée d’un pouvoir d’appréciation, dans le chef du juge, en ce qui concerne la sanction de la nullité absolue</w:t>
      </w:r>
      <w:r w:rsidR="00B01DAB">
        <w:rPr>
          <w:rFonts w:ascii="Times New Roman" w:hAnsi="Times New Roman"/>
          <w:lang w:val="fr-BE"/>
        </w:rPr>
        <w:t xml:space="preserve"> (ch. III). </w:t>
      </w:r>
    </w:p>
    <w:p w14:paraId="6593B8A8" w14:textId="77777777" w:rsidR="00173A22" w:rsidRDefault="00173A22" w:rsidP="005E2D80">
      <w:pPr>
        <w:jc w:val="both"/>
      </w:pPr>
    </w:p>
    <w:p w14:paraId="09545745" w14:textId="25E60A17" w:rsidR="005E2D80" w:rsidRPr="00E67A43" w:rsidRDefault="005E2D80" w:rsidP="005F4B7A">
      <w:pPr>
        <w:jc w:val="both"/>
        <w:rPr>
          <w:b/>
          <w:smallCaps/>
        </w:rPr>
      </w:pPr>
      <w:r w:rsidRPr="00E67A43">
        <w:rPr>
          <w:b/>
          <w:smallCaps/>
        </w:rPr>
        <w:t xml:space="preserve">Chapitre II. </w:t>
      </w:r>
      <w:r w:rsidR="00B21723" w:rsidRPr="00E67A43">
        <w:rPr>
          <w:b/>
          <w:smallCaps/>
        </w:rPr>
        <w:t>Une conception affinée, voire renouvelée, de l</w:t>
      </w:r>
      <w:r w:rsidRPr="00E67A43">
        <w:rPr>
          <w:b/>
          <w:smallCaps/>
        </w:rPr>
        <w:t xml:space="preserve">’ordre public </w:t>
      </w:r>
    </w:p>
    <w:p w14:paraId="6C6437F8" w14:textId="77777777" w:rsidR="00B845D6" w:rsidRDefault="00B845D6" w:rsidP="00B845D6">
      <w:pPr>
        <w:jc w:val="both"/>
      </w:pPr>
    </w:p>
    <w:p w14:paraId="32722754" w14:textId="536D96CC" w:rsidR="00650B1B" w:rsidRDefault="00E67A43" w:rsidP="00B845D6">
      <w:pPr>
        <w:jc w:val="both"/>
      </w:pPr>
      <w:r w:rsidRPr="00E67A43">
        <w:rPr>
          <w:b/>
        </w:rPr>
        <w:t>1</w:t>
      </w:r>
      <w:r w:rsidR="003F06AA">
        <w:rPr>
          <w:b/>
        </w:rPr>
        <w:t>9</w:t>
      </w:r>
      <w:r w:rsidRPr="00E67A43">
        <w:rPr>
          <w:b/>
        </w:rPr>
        <w:t xml:space="preserve">. - </w:t>
      </w:r>
      <w:r w:rsidR="00650B1B">
        <w:t xml:space="preserve">Après avoir rappelé quelques </w:t>
      </w:r>
      <w:r w:rsidR="00097812">
        <w:t>principes relatifs à la notion d’ordre public</w:t>
      </w:r>
      <w:r w:rsidR="00650B1B">
        <w:t xml:space="preserve"> (section 1), nous évoquerons trois pièges dans lesquels il est tentant de tomber (section 2) avant de proposer une approche plus casuistique </w:t>
      </w:r>
      <w:r w:rsidR="00F97343">
        <w:t xml:space="preserve">de l’ordre public, </w:t>
      </w:r>
      <w:r w:rsidR="00097812">
        <w:t>déclinée</w:t>
      </w:r>
      <w:r w:rsidR="00F97343">
        <w:t xml:space="preserve"> en termes de proportionnalité (section 3). </w:t>
      </w:r>
    </w:p>
    <w:p w14:paraId="605B8F37" w14:textId="77777777" w:rsidR="00650B1B" w:rsidRDefault="00650B1B" w:rsidP="00B845D6">
      <w:pPr>
        <w:jc w:val="both"/>
      </w:pPr>
    </w:p>
    <w:p w14:paraId="5BC40CF1" w14:textId="2EE572EB" w:rsidR="00B845D6" w:rsidRPr="00E67A43" w:rsidRDefault="00303C58" w:rsidP="00303C58">
      <w:pPr>
        <w:jc w:val="both"/>
        <w:rPr>
          <w:u w:val="single"/>
        </w:rPr>
      </w:pPr>
      <w:r w:rsidRPr="00E67A43">
        <w:rPr>
          <w:u w:val="single"/>
        </w:rPr>
        <w:t xml:space="preserve">Section 1. </w:t>
      </w:r>
      <w:r w:rsidR="00097812">
        <w:rPr>
          <w:u w:val="single"/>
        </w:rPr>
        <w:t>La notion</w:t>
      </w:r>
    </w:p>
    <w:p w14:paraId="0B317077" w14:textId="77777777" w:rsidR="00B845D6" w:rsidRDefault="00B845D6" w:rsidP="00B845D6">
      <w:pPr>
        <w:jc w:val="both"/>
      </w:pPr>
    </w:p>
    <w:p w14:paraId="02B442D3" w14:textId="39F8AE26" w:rsidR="00B845D6" w:rsidRPr="00307A9A" w:rsidRDefault="003F06AA" w:rsidP="00C035EA">
      <w:pPr>
        <w:jc w:val="both"/>
      </w:pPr>
      <w:r>
        <w:rPr>
          <w:b/>
        </w:rPr>
        <w:t>20</w:t>
      </w:r>
      <w:r w:rsidR="00BC4C8D" w:rsidRPr="00BC4C8D">
        <w:rPr>
          <w:b/>
        </w:rPr>
        <w:t>. - Un concept fondamental…</w:t>
      </w:r>
      <w:r w:rsidR="00BC4C8D">
        <w:t xml:space="preserve"> </w:t>
      </w:r>
      <w:r w:rsidR="00B845D6">
        <w:t xml:space="preserve">La notion d’ordre public </w:t>
      </w:r>
      <w:r w:rsidR="00C035EA">
        <w:t>mériterait de longs développements dont il ne nous est pas permis de rendre compte</w:t>
      </w:r>
      <w:r w:rsidR="00B845D6">
        <w:rPr>
          <w:rStyle w:val="Marquenotebasdepage"/>
        </w:rPr>
        <w:footnoteReference w:id="73"/>
      </w:r>
      <w:r w:rsidR="00B845D6">
        <w:t xml:space="preserve">. On se contentera de rappeler que, là encore, notre ordre juridique doit beaucoup à l’éminent De Page qui définissait la </w:t>
      </w:r>
      <w:r w:rsidR="00B845D6">
        <w:rPr>
          <w:rFonts w:ascii="Times New Roman" w:hAnsi="Times New Roman"/>
          <w:lang w:val="fr-BE"/>
        </w:rPr>
        <w:t>« </w:t>
      </w:r>
      <w:r w:rsidR="00B845D6" w:rsidRPr="001B0FC3">
        <w:rPr>
          <w:rFonts w:ascii="Times New Roman" w:hAnsi="Times New Roman"/>
          <w:lang w:val="fr-BE"/>
        </w:rPr>
        <w:t>loi d’ordre public</w:t>
      </w:r>
      <w:r w:rsidR="00B845D6">
        <w:rPr>
          <w:rFonts w:ascii="Times New Roman" w:hAnsi="Times New Roman"/>
          <w:lang w:val="fr-BE"/>
        </w:rPr>
        <w:t> » comme étant</w:t>
      </w:r>
      <w:r w:rsidR="00B845D6" w:rsidRPr="001B0FC3">
        <w:rPr>
          <w:rFonts w:ascii="Times New Roman" w:hAnsi="Times New Roman"/>
          <w:lang w:val="fr-BE"/>
        </w:rPr>
        <w:t xml:space="preserve"> </w:t>
      </w:r>
      <w:r w:rsidR="00B845D6">
        <w:rPr>
          <w:rFonts w:ascii="Times New Roman" w:hAnsi="Times New Roman"/>
          <w:lang w:val="fr-BE"/>
        </w:rPr>
        <w:t>« c</w:t>
      </w:r>
      <w:r w:rsidR="00B845D6" w:rsidRPr="001B0FC3">
        <w:rPr>
          <w:rFonts w:ascii="Times New Roman" w:hAnsi="Times New Roman"/>
          <w:lang w:val="fr-BE"/>
        </w:rPr>
        <w:t xml:space="preserve">elle qui touche </w:t>
      </w:r>
      <w:r w:rsidR="00B845D6" w:rsidRPr="001B0FC3">
        <w:rPr>
          <w:rFonts w:ascii="Times New Roman" w:hAnsi="Times New Roman"/>
          <w:i/>
          <w:lang w:val="fr-BE"/>
        </w:rPr>
        <w:t>aux intérêts essentiels de l’Etat ou de la collectivité</w:t>
      </w:r>
      <w:r w:rsidR="00B845D6" w:rsidRPr="001B0FC3">
        <w:rPr>
          <w:rFonts w:ascii="Times New Roman" w:hAnsi="Times New Roman"/>
          <w:lang w:val="fr-BE"/>
        </w:rPr>
        <w:t xml:space="preserve">, ou qui fixe, dans le </w:t>
      </w:r>
      <w:r w:rsidR="00B845D6" w:rsidRPr="001B0FC3">
        <w:rPr>
          <w:rFonts w:ascii="Times New Roman" w:hAnsi="Times New Roman"/>
          <w:i/>
          <w:lang w:val="fr-BE"/>
        </w:rPr>
        <w:t>droit privé</w:t>
      </w:r>
      <w:r w:rsidR="00B845D6" w:rsidRPr="001B0FC3">
        <w:rPr>
          <w:rFonts w:ascii="Times New Roman" w:hAnsi="Times New Roman"/>
          <w:lang w:val="fr-BE"/>
        </w:rPr>
        <w:t>, les bases juridiques fondamentales sur lesquelles repose l’ordre économique ou moral d’une société déterminée »</w:t>
      </w:r>
      <w:r w:rsidR="00B845D6">
        <w:rPr>
          <w:rStyle w:val="Marquenotebasdepage"/>
          <w:rFonts w:ascii="Times New Roman" w:hAnsi="Times New Roman"/>
          <w:lang w:val="fr-BE"/>
        </w:rPr>
        <w:footnoteReference w:id="74"/>
      </w:r>
      <w:r w:rsidR="00B845D6">
        <w:rPr>
          <w:rFonts w:ascii="Times New Roman" w:hAnsi="Times New Roman"/>
          <w:lang w:val="fr-BE"/>
        </w:rPr>
        <w:t xml:space="preserve">. Cette définition fut reprise </w:t>
      </w:r>
      <w:r w:rsidR="00097812">
        <w:rPr>
          <w:rFonts w:ascii="Times New Roman" w:hAnsi="Times New Roman"/>
          <w:lang w:val="fr-BE"/>
        </w:rPr>
        <w:t>presque littéralement</w:t>
      </w:r>
      <w:r w:rsidR="00B845D6">
        <w:rPr>
          <w:rFonts w:ascii="Times New Roman" w:hAnsi="Times New Roman"/>
          <w:lang w:val="fr-BE"/>
        </w:rPr>
        <w:t xml:space="preserve"> par la Cour de cassation qui, encore aujourd’hui et depuis 1948</w:t>
      </w:r>
      <w:r w:rsidR="00B845D6">
        <w:rPr>
          <w:rStyle w:val="Marquenotebasdepage"/>
          <w:rFonts w:ascii="Times New Roman" w:hAnsi="Times New Roman"/>
          <w:lang w:val="fr-BE"/>
        </w:rPr>
        <w:footnoteReference w:id="75"/>
      </w:r>
      <w:r w:rsidR="00B845D6">
        <w:rPr>
          <w:rFonts w:ascii="Times New Roman" w:hAnsi="Times New Roman"/>
          <w:lang w:val="fr-BE"/>
        </w:rPr>
        <w:t>, considère qu’une loi est « </w:t>
      </w:r>
      <w:r w:rsidR="00B845D6" w:rsidRPr="001B0FC3">
        <w:rPr>
          <w:rFonts w:ascii="Times New Roman" w:hAnsi="Times New Roman"/>
          <w:lang w:val="fr-BE"/>
        </w:rPr>
        <w:t>d'ordre public dès lors qu'elle touche aux intérêts essentiels de l'Etat ou de la collectivité et fixe les bases juridiques sur lesquelles repose l'ordre économique ou moral de la société</w:t>
      </w:r>
      <w:r w:rsidR="00B845D6">
        <w:rPr>
          <w:rFonts w:ascii="Times New Roman" w:hAnsi="Times New Roman"/>
          <w:lang w:val="fr-BE"/>
        </w:rPr>
        <w:t> »</w:t>
      </w:r>
      <w:r w:rsidR="00B845D6">
        <w:rPr>
          <w:rStyle w:val="Marquenotebasdepage"/>
          <w:rFonts w:ascii="Times New Roman" w:hAnsi="Times New Roman"/>
          <w:lang w:val="fr-BE"/>
        </w:rPr>
        <w:footnoteReference w:id="76"/>
      </w:r>
      <w:r w:rsidR="00B845D6">
        <w:rPr>
          <w:rFonts w:ascii="Times New Roman" w:hAnsi="Times New Roman"/>
          <w:lang w:val="fr-BE"/>
        </w:rPr>
        <w:t>.</w:t>
      </w:r>
      <w:r w:rsidR="00B845D6" w:rsidRPr="001B0FC3">
        <w:rPr>
          <w:rFonts w:ascii="Times New Roman" w:hAnsi="Times New Roman"/>
          <w:lang w:val="fr-BE"/>
        </w:rPr>
        <w:t xml:space="preserve"> </w:t>
      </w:r>
      <w:r w:rsidR="00B845D6" w:rsidRPr="00104FC5">
        <w:rPr>
          <w:rFonts w:ascii="Times New Roman" w:hAnsi="Times New Roman"/>
          <w:lang w:val="fr-BE"/>
        </w:rPr>
        <w:t>A</w:t>
      </w:r>
      <w:r w:rsidR="00B845D6">
        <w:rPr>
          <w:rFonts w:ascii="Times New Roman" w:hAnsi="Times New Roman"/>
          <w:lang w:val="fr-BE"/>
        </w:rPr>
        <w:t xml:space="preserve">lors que, à </w:t>
      </w:r>
      <w:r w:rsidR="00B845D6" w:rsidRPr="00104FC5">
        <w:rPr>
          <w:rFonts w:ascii="Times New Roman" w:hAnsi="Times New Roman"/>
          <w:lang w:val="fr-BE"/>
        </w:rPr>
        <w:t>l’origine, l’ordre public constituait une catégorie de norme impérative</w:t>
      </w:r>
      <w:r w:rsidR="00B845D6">
        <w:rPr>
          <w:rFonts w:ascii="Times New Roman" w:hAnsi="Times New Roman"/>
          <w:lang w:val="fr-BE"/>
        </w:rPr>
        <w:t>, celle-ci se définissan</w:t>
      </w:r>
      <w:r w:rsidR="00B845D6" w:rsidRPr="00104FC5">
        <w:rPr>
          <w:rFonts w:ascii="Times New Roman" w:hAnsi="Times New Roman"/>
          <w:lang w:val="fr-BE"/>
        </w:rPr>
        <w:t>t uniquement par opposition à la règle supplétive</w:t>
      </w:r>
      <w:r w:rsidR="00B845D6">
        <w:rPr>
          <w:rFonts w:ascii="Times New Roman" w:hAnsi="Times New Roman"/>
          <w:lang w:val="fr-BE"/>
        </w:rPr>
        <w:t>,</w:t>
      </w:r>
      <w:r w:rsidR="00B845D6" w:rsidRPr="00104FC5">
        <w:rPr>
          <w:rFonts w:ascii="Times New Roman" w:hAnsi="Times New Roman"/>
          <w:lang w:val="fr-BE"/>
        </w:rPr>
        <w:t xml:space="preserve"> </w:t>
      </w:r>
      <w:r w:rsidR="00B845D6">
        <w:rPr>
          <w:rFonts w:ascii="Times New Roman" w:hAnsi="Times New Roman"/>
          <w:lang w:val="fr-BE"/>
        </w:rPr>
        <w:t>il se distingue dorénavant de ces règles, qui ne protègent que des intérêts privés</w:t>
      </w:r>
      <w:r w:rsidR="00B845D6" w:rsidRPr="001B0FC3">
        <w:rPr>
          <w:rStyle w:val="Marquenotebasdepage"/>
          <w:rFonts w:ascii="Times New Roman" w:hAnsi="Times New Roman"/>
          <w:lang w:val="fr-BE"/>
        </w:rPr>
        <w:footnoteReference w:id="77"/>
      </w:r>
      <w:r w:rsidR="00B845D6">
        <w:rPr>
          <w:rFonts w:ascii="Times New Roman" w:hAnsi="Times New Roman"/>
          <w:lang w:val="fr-BE"/>
        </w:rPr>
        <w:t>.</w:t>
      </w:r>
    </w:p>
    <w:p w14:paraId="587457F7" w14:textId="77777777" w:rsidR="00B845D6" w:rsidRDefault="00B845D6" w:rsidP="00B845D6">
      <w:pPr>
        <w:jc w:val="both"/>
        <w:rPr>
          <w:rFonts w:ascii="Times New Roman" w:hAnsi="Times New Roman"/>
          <w:lang w:val="fr-BE"/>
        </w:rPr>
      </w:pPr>
    </w:p>
    <w:p w14:paraId="025F8B3C" w14:textId="77777777" w:rsidR="00B845D6" w:rsidRDefault="00B845D6" w:rsidP="00B845D6">
      <w:pPr>
        <w:jc w:val="both"/>
        <w:rPr>
          <w:rFonts w:ascii="Times New Roman" w:hAnsi="Times New Roman"/>
          <w:lang w:val="fr-BE"/>
        </w:rPr>
      </w:pPr>
      <w:r w:rsidRPr="001B0FC3">
        <w:rPr>
          <w:rFonts w:ascii="Times New Roman" w:hAnsi="Times New Roman"/>
          <w:lang w:val="fr-BE"/>
        </w:rPr>
        <w:t xml:space="preserve">Pour déterminer si une disposition est d’ordre public, </w:t>
      </w:r>
      <w:r>
        <w:rPr>
          <w:rFonts w:ascii="Times New Roman" w:hAnsi="Times New Roman"/>
          <w:lang w:val="fr-BE"/>
        </w:rPr>
        <w:t xml:space="preserve">De Page estimait qu’il convenait de, </w:t>
      </w:r>
      <w:r w:rsidRPr="001B0FC3">
        <w:rPr>
          <w:rFonts w:ascii="Times New Roman" w:hAnsi="Times New Roman"/>
          <w:lang w:val="fr-BE"/>
        </w:rPr>
        <w:t xml:space="preserve">« chaque fois, analyser </w:t>
      </w:r>
      <w:r w:rsidRPr="001B0FC3">
        <w:rPr>
          <w:rFonts w:ascii="Times New Roman" w:hAnsi="Times New Roman"/>
          <w:i/>
          <w:lang w:val="fr-BE"/>
        </w:rPr>
        <w:t>l’esprit de l’institution</w:t>
      </w:r>
      <w:r w:rsidRPr="001B0FC3">
        <w:rPr>
          <w:rFonts w:ascii="Times New Roman" w:hAnsi="Times New Roman"/>
          <w:lang w:val="fr-BE"/>
        </w:rPr>
        <w:t xml:space="preserve">, et rechercher en quoi, ou par quoi elle est en rapport avec les </w:t>
      </w:r>
      <w:r w:rsidRPr="001B0FC3">
        <w:rPr>
          <w:rFonts w:ascii="Times New Roman" w:hAnsi="Times New Roman"/>
          <w:i/>
          <w:lang w:val="fr-BE"/>
        </w:rPr>
        <w:t>exigences essentielles de la collectivité</w:t>
      </w:r>
      <w:r w:rsidRPr="001B0FC3">
        <w:rPr>
          <w:rFonts w:ascii="Times New Roman" w:hAnsi="Times New Roman"/>
          <w:lang w:val="fr-BE"/>
        </w:rPr>
        <w:t xml:space="preserve"> ou les bases fondamentales du droit privé »</w:t>
      </w:r>
      <w:r>
        <w:rPr>
          <w:rStyle w:val="Marquenotebasdepage"/>
          <w:rFonts w:ascii="Times New Roman" w:hAnsi="Times New Roman"/>
          <w:lang w:val="fr-BE"/>
        </w:rPr>
        <w:footnoteReference w:id="78"/>
      </w:r>
      <w:r>
        <w:rPr>
          <w:rFonts w:ascii="Times New Roman" w:hAnsi="Times New Roman"/>
          <w:lang w:val="fr-BE"/>
        </w:rPr>
        <w:t>. P. Van Ommeslaghe suggère pour sa part de « vérifier si les textes en cause sont destinés, dans l’intention du législateur, à réglementer les relations individuelles qui résultent d’un rapport juridique ou, au contraire, s’ils s’insèrent dans une politique économique ou sociale intéressant la généralité des citoyens ou certaines catégories d’entre eux »</w:t>
      </w:r>
      <w:r w:rsidRPr="001B0FC3">
        <w:rPr>
          <w:rStyle w:val="Marquenotebasdepage"/>
          <w:rFonts w:ascii="Times New Roman" w:hAnsi="Times New Roman"/>
          <w:lang w:val="fr-BE"/>
        </w:rPr>
        <w:footnoteReference w:id="79"/>
      </w:r>
      <w:r>
        <w:rPr>
          <w:rFonts w:ascii="Times New Roman" w:hAnsi="Times New Roman"/>
          <w:lang w:val="fr-BE"/>
        </w:rPr>
        <w:t xml:space="preserve">. </w:t>
      </w:r>
    </w:p>
    <w:p w14:paraId="266D2183" w14:textId="77777777" w:rsidR="00B845D6" w:rsidRDefault="00B845D6" w:rsidP="00B845D6">
      <w:pPr>
        <w:jc w:val="both"/>
        <w:rPr>
          <w:rFonts w:ascii="Times New Roman" w:hAnsi="Times New Roman"/>
          <w:lang w:val="fr-BE"/>
        </w:rPr>
      </w:pPr>
    </w:p>
    <w:p w14:paraId="749B2089" w14:textId="62976711" w:rsidR="00097812" w:rsidRDefault="00E67A43" w:rsidP="00B845D6">
      <w:pPr>
        <w:jc w:val="both"/>
      </w:pPr>
      <w:r>
        <w:rPr>
          <w:rFonts w:ascii="Times New Roman" w:hAnsi="Times New Roman"/>
          <w:b/>
          <w:lang w:val="fr-BE"/>
        </w:rPr>
        <w:t>2</w:t>
      </w:r>
      <w:r w:rsidR="003F06AA">
        <w:rPr>
          <w:rFonts w:ascii="Times New Roman" w:hAnsi="Times New Roman"/>
          <w:b/>
          <w:lang w:val="fr-BE"/>
        </w:rPr>
        <w:t>1</w:t>
      </w:r>
      <w:r w:rsidR="00BC4C8D" w:rsidRPr="00BC4C8D">
        <w:rPr>
          <w:rFonts w:ascii="Times New Roman" w:hAnsi="Times New Roman"/>
          <w:b/>
          <w:lang w:val="fr-BE"/>
        </w:rPr>
        <w:t>. - ..</w:t>
      </w:r>
      <w:r w:rsidR="00B845D6" w:rsidRPr="00BC4C8D">
        <w:rPr>
          <w:rFonts w:ascii="Times New Roman" w:hAnsi="Times New Roman"/>
          <w:b/>
          <w:lang w:val="fr-BE"/>
        </w:rPr>
        <w:t>.</w:t>
      </w:r>
      <w:r w:rsidR="00BC4C8D" w:rsidRPr="00BC4C8D">
        <w:rPr>
          <w:rFonts w:ascii="Times New Roman" w:hAnsi="Times New Roman"/>
          <w:b/>
          <w:lang w:val="fr-BE"/>
        </w:rPr>
        <w:t xml:space="preserve"> mais flou.</w:t>
      </w:r>
      <w:r w:rsidR="00B845D6">
        <w:rPr>
          <w:rFonts w:ascii="Times New Roman" w:hAnsi="Times New Roman"/>
          <w:lang w:val="fr-BE"/>
        </w:rPr>
        <w:t xml:space="preserve"> Si ces propos doctrinaux peuvent offrir certains repères, il n’en demeure pas moins que le praticien doit, souvent, se rendre compte que l’ordre public</w:t>
      </w:r>
      <w:r w:rsidR="00B845D6" w:rsidRPr="001B0FC3">
        <w:rPr>
          <w:rFonts w:ascii="Times New Roman" w:hAnsi="Times New Roman"/>
          <w:lang w:val="fr-BE"/>
        </w:rPr>
        <w:t xml:space="preserve"> « se sent bien plus qu’(il) ne se définit »</w:t>
      </w:r>
      <w:r w:rsidR="00B845D6" w:rsidRPr="001B0FC3">
        <w:rPr>
          <w:rStyle w:val="Marquenotebasdepage"/>
          <w:rFonts w:ascii="Times New Roman" w:hAnsi="Times New Roman"/>
          <w:lang w:val="fr-BE"/>
        </w:rPr>
        <w:footnoteReference w:id="80"/>
      </w:r>
      <w:r w:rsidR="00B845D6">
        <w:rPr>
          <w:rFonts w:ascii="Times New Roman" w:hAnsi="Times New Roman"/>
          <w:lang w:val="fr-BE"/>
        </w:rPr>
        <w:t>.</w:t>
      </w:r>
      <w:r w:rsidR="00B845D6" w:rsidRPr="00295F1D">
        <w:t xml:space="preserve"> </w:t>
      </w:r>
      <w:r w:rsidR="001C4B75">
        <w:t>Avec un peu de provocation</w:t>
      </w:r>
      <w:r w:rsidR="00097812">
        <w:t xml:space="preserve"> et en soulignant la dimension performative de la jurisprudence</w:t>
      </w:r>
      <w:r w:rsidR="001C4B75">
        <w:t xml:space="preserve">, nous </w:t>
      </w:r>
      <w:r w:rsidR="00097812">
        <w:t>serions tentés de le</w:t>
      </w:r>
      <w:r w:rsidR="001C4B75">
        <w:t xml:space="preserve"> définir comme l’ensemble des règles qualifiées telles par le juge et, surtout, par la Cour de cassation</w:t>
      </w:r>
      <w:r w:rsidR="00097812">
        <w:t xml:space="preserve">. </w:t>
      </w:r>
    </w:p>
    <w:p w14:paraId="57498390" w14:textId="77777777" w:rsidR="00303C58" w:rsidRDefault="00303C58" w:rsidP="00B845D6">
      <w:pPr>
        <w:jc w:val="both"/>
        <w:rPr>
          <w:rFonts w:ascii="Times New Roman" w:hAnsi="Times New Roman"/>
          <w:lang w:val="fr-BE"/>
        </w:rPr>
      </w:pPr>
    </w:p>
    <w:p w14:paraId="6F709D51" w14:textId="0859341F" w:rsidR="00B845D6" w:rsidRPr="00E67A43" w:rsidRDefault="00303C58" w:rsidP="00303C58">
      <w:pPr>
        <w:jc w:val="both"/>
        <w:rPr>
          <w:rFonts w:ascii="Times New Roman" w:hAnsi="Times New Roman"/>
          <w:u w:val="single"/>
          <w:lang w:val="fr-BE"/>
        </w:rPr>
      </w:pPr>
      <w:r w:rsidRPr="00E67A43">
        <w:rPr>
          <w:rFonts w:ascii="Times New Roman" w:hAnsi="Times New Roman"/>
          <w:u w:val="single"/>
          <w:lang w:val="fr-BE"/>
        </w:rPr>
        <w:t xml:space="preserve">Section 2. </w:t>
      </w:r>
      <w:r w:rsidR="005E722F" w:rsidRPr="00E67A43">
        <w:rPr>
          <w:rFonts w:ascii="Times New Roman" w:hAnsi="Times New Roman"/>
          <w:u w:val="single"/>
          <w:lang w:val="fr-BE"/>
        </w:rPr>
        <w:t xml:space="preserve">Les </w:t>
      </w:r>
      <w:r w:rsidR="00B736A6" w:rsidRPr="00E67A43">
        <w:rPr>
          <w:rFonts w:ascii="Times New Roman" w:hAnsi="Times New Roman"/>
          <w:u w:val="single"/>
          <w:lang w:val="fr-BE"/>
        </w:rPr>
        <w:t>pièges</w:t>
      </w:r>
    </w:p>
    <w:p w14:paraId="01F813A4" w14:textId="77777777" w:rsidR="00303C58" w:rsidRDefault="00303C58" w:rsidP="00303C58">
      <w:pPr>
        <w:jc w:val="both"/>
        <w:rPr>
          <w:rFonts w:ascii="Times New Roman" w:hAnsi="Times New Roman"/>
          <w:lang w:val="fr-BE"/>
        </w:rPr>
      </w:pPr>
    </w:p>
    <w:p w14:paraId="5DBBE588" w14:textId="5EDB8BE7" w:rsidR="00797B0F" w:rsidRDefault="00E67A43" w:rsidP="00303C58">
      <w:pPr>
        <w:jc w:val="both"/>
        <w:rPr>
          <w:rFonts w:ascii="Times New Roman" w:hAnsi="Times New Roman"/>
          <w:lang w:val="fr-BE"/>
        </w:rPr>
      </w:pPr>
      <w:r w:rsidRPr="00E67A43">
        <w:rPr>
          <w:rFonts w:ascii="Times New Roman" w:hAnsi="Times New Roman"/>
          <w:b/>
          <w:lang w:val="fr-BE"/>
        </w:rPr>
        <w:t>2</w:t>
      </w:r>
      <w:r w:rsidR="003F06AA">
        <w:rPr>
          <w:rFonts w:ascii="Times New Roman" w:hAnsi="Times New Roman"/>
          <w:b/>
          <w:lang w:val="fr-BE"/>
        </w:rPr>
        <w:t>2</w:t>
      </w:r>
      <w:r w:rsidR="00986911" w:rsidRPr="00E67A43">
        <w:rPr>
          <w:rFonts w:ascii="Times New Roman" w:hAnsi="Times New Roman"/>
          <w:b/>
          <w:lang w:val="fr-BE"/>
        </w:rPr>
        <w:t xml:space="preserve">. </w:t>
      </w:r>
      <w:r>
        <w:rPr>
          <w:rFonts w:ascii="Times New Roman" w:hAnsi="Times New Roman"/>
          <w:b/>
          <w:lang w:val="fr-BE"/>
        </w:rPr>
        <w:t>–</w:t>
      </w:r>
      <w:r w:rsidR="00986911" w:rsidRPr="00E67A43">
        <w:rPr>
          <w:rFonts w:ascii="Times New Roman" w:hAnsi="Times New Roman"/>
          <w:b/>
          <w:lang w:val="fr-BE"/>
        </w:rPr>
        <w:t xml:space="preserve"> </w:t>
      </w:r>
      <w:r>
        <w:rPr>
          <w:rFonts w:ascii="Times New Roman" w:hAnsi="Times New Roman"/>
          <w:b/>
          <w:lang w:val="fr-BE"/>
        </w:rPr>
        <w:t xml:space="preserve">Une application difficile. - </w:t>
      </w:r>
      <w:r w:rsidR="00B01DAB">
        <w:rPr>
          <w:rFonts w:ascii="Times New Roman" w:hAnsi="Times New Roman"/>
          <w:lang w:val="fr-BE"/>
        </w:rPr>
        <w:t xml:space="preserve">Le problème essentiel lié à la notion d’ordre public est qu’elle n’est pas aisée à appréhender in concreto. La tendance naturelle </w:t>
      </w:r>
      <w:r w:rsidR="00797B0F">
        <w:rPr>
          <w:rFonts w:ascii="Times New Roman" w:hAnsi="Times New Roman"/>
          <w:lang w:val="fr-BE"/>
        </w:rPr>
        <w:t>des juristes</w:t>
      </w:r>
      <w:r w:rsidR="00B01DAB">
        <w:rPr>
          <w:rFonts w:ascii="Times New Roman" w:hAnsi="Times New Roman"/>
          <w:lang w:val="fr-BE"/>
        </w:rPr>
        <w:t xml:space="preserve"> est de généraliser </w:t>
      </w:r>
      <w:r w:rsidR="00797B0F">
        <w:rPr>
          <w:rFonts w:ascii="Times New Roman" w:hAnsi="Times New Roman"/>
          <w:lang w:val="fr-BE"/>
        </w:rPr>
        <w:t xml:space="preserve">un peu vite et de simplifier un peu trop lorsqu’il s’agit de déterminer si une règle relève ou non de l’ordre public. </w:t>
      </w:r>
    </w:p>
    <w:p w14:paraId="7B224844" w14:textId="77777777" w:rsidR="00B01DAB" w:rsidRDefault="00B01DAB" w:rsidP="00303C58">
      <w:pPr>
        <w:jc w:val="both"/>
        <w:rPr>
          <w:rFonts w:ascii="Times New Roman" w:hAnsi="Times New Roman"/>
          <w:lang w:val="fr-BE"/>
        </w:rPr>
      </w:pPr>
    </w:p>
    <w:p w14:paraId="29D8C258" w14:textId="0EF1C7D1" w:rsidR="00DF0C25" w:rsidRPr="00986911" w:rsidRDefault="00E67A43" w:rsidP="00DF0C25">
      <w:pPr>
        <w:jc w:val="both"/>
        <w:rPr>
          <w:rFonts w:ascii="Times New Roman" w:hAnsi="Times New Roman"/>
          <w:lang w:val="fr-BE"/>
        </w:rPr>
      </w:pPr>
      <w:r>
        <w:rPr>
          <w:rFonts w:ascii="Times New Roman" w:hAnsi="Times New Roman"/>
          <w:b/>
          <w:lang w:val="fr-BE"/>
        </w:rPr>
        <w:t>2</w:t>
      </w:r>
      <w:r w:rsidR="003F06AA">
        <w:rPr>
          <w:rFonts w:ascii="Times New Roman" w:hAnsi="Times New Roman"/>
          <w:b/>
          <w:lang w:val="fr-BE"/>
        </w:rPr>
        <w:t>3</w:t>
      </w:r>
      <w:r w:rsidR="00986911" w:rsidRPr="00986911">
        <w:rPr>
          <w:rFonts w:ascii="Times New Roman" w:hAnsi="Times New Roman"/>
          <w:b/>
          <w:lang w:val="fr-BE"/>
        </w:rPr>
        <w:t>. – Une approche par règle</w:t>
      </w:r>
      <w:r w:rsidR="00797B0F">
        <w:rPr>
          <w:rFonts w:ascii="Times New Roman" w:hAnsi="Times New Roman"/>
          <w:b/>
          <w:lang w:val="fr-BE"/>
        </w:rPr>
        <w:t xml:space="preserve"> et non par matière</w:t>
      </w:r>
      <w:r w:rsidR="00986911" w:rsidRPr="00986911">
        <w:rPr>
          <w:rFonts w:ascii="Times New Roman" w:hAnsi="Times New Roman"/>
          <w:b/>
          <w:lang w:val="fr-BE"/>
        </w:rPr>
        <w:t xml:space="preserve">. </w:t>
      </w:r>
      <w:r w:rsidR="00051D65">
        <w:rPr>
          <w:rFonts w:ascii="Times New Roman" w:hAnsi="Times New Roman"/>
          <w:lang w:val="fr-BE"/>
        </w:rPr>
        <w:t xml:space="preserve">Le premier (mauvais) réflexe consiste à </w:t>
      </w:r>
      <w:r w:rsidR="001C4B75">
        <w:rPr>
          <w:rFonts w:ascii="Times New Roman" w:hAnsi="Times New Roman"/>
          <w:lang w:val="fr-BE"/>
        </w:rPr>
        <w:t xml:space="preserve">considérer que </w:t>
      </w:r>
      <w:r w:rsidR="001F3463">
        <w:rPr>
          <w:rFonts w:ascii="Times New Roman" w:hAnsi="Times New Roman"/>
          <w:lang w:val="fr-BE"/>
        </w:rPr>
        <w:t>l’appartenance d</w:t>
      </w:r>
      <w:r w:rsidR="001C4B75">
        <w:rPr>
          <w:rFonts w:ascii="Times New Roman" w:hAnsi="Times New Roman"/>
          <w:lang w:val="fr-BE"/>
        </w:rPr>
        <w:t xml:space="preserve">’une matière à l’ordre public </w:t>
      </w:r>
      <w:r w:rsidR="001F3463">
        <w:rPr>
          <w:rFonts w:ascii="Times New Roman" w:hAnsi="Times New Roman"/>
          <w:lang w:val="fr-BE"/>
        </w:rPr>
        <w:t xml:space="preserve">implique </w:t>
      </w:r>
      <w:r w:rsidR="001C4B75">
        <w:rPr>
          <w:rFonts w:ascii="Times New Roman" w:hAnsi="Times New Roman"/>
          <w:lang w:val="fr-BE"/>
        </w:rPr>
        <w:t>que</w:t>
      </w:r>
      <w:r w:rsidR="001F3463">
        <w:rPr>
          <w:rFonts w:ascii="Times New Roman" w:hAnsi="Times New Roman"/>
          <w:lang w:val="fr-BE"/>
        </w:rPr>
        <w:t xml:space="preserve"> ce soit le cas de chacune de ses règles</w:t>
      </w:r>
      <w:r w:rsidR="001F3463">
        <w:rPr>
          <w:rStyle w:val="Marquenotebasdepage"/>
          <w:rFonts w:ascii="Times New Roman" w:hAnsi="Times New Roman"/>
          <w:lang w:val="fr-BE"/>
        </w:rPr>
        <w:footnoteReference w:id="81"/>
      </w:r>
      <w:r w:rsidR="001F3463" w:rsidRPr="001B0FC3">
        <w:rPr>
          <w:rFonts w:ascii="Times New Roman" w:hAnsi="Times New Roman"/>
          <w:lang w:val="fr-BE"/>
        </w:rPr>
        <w:t>.</w:t>
      </w:r>
      <w:r w:rsidR="001F3463">
        <w:rPr>
          <w:rFonts w:ascii="Times New Roman" w:hAnsi="Times New Roman"/>
          <w:lang w:val="fr-BE"/>
        </w:rPr>
        <w:t xml:space="preserve"> </w:t>
      </w:r>
      <w:r w:rsidR="00051D65">
        <w:rPr>
          <w:rFonts w:ascii="Times New Roman" w:hAnsi="Times New Roman"/>
          <w:lang w:val="fr-BE"/>
        </w:rPr>
        <w:t xml:space="preserve">Il convient donc de se méfier de </w:t>
      </w:r>
      <w:r w:rsidR="00797B0F">
        <w:rPr>
          <w:rFonts w:ascii="Times New Roman" w:hAnsi="Times New Roman"/>
          <w:lang w:val="fr-BE"/>
        </w:rPr>
        <w:t>postulats</w:t>
      </w:r>
      <w:r w:rsidR="00051D65">
        <w:rPr>
          <w:rFonts w:ascii="Times New Roman" w:hAnsi="Times New Roman"/>
          <w:lang w:val="fr-BE"/>
        </w:rPr>
        <w:t xml:space="preserve"> </w:t>
      </w:r>
      <w:r w:rsidR="00797B0F">
        <w:rPr>
          <w:rFonts w:ascii="Times New Roman" w:hAnsi="Times New Roman"/>
          <w:lang w:val="fr-BE"/>
        </w:rPr>
        <w:t>tels que :</w:t>
      </w:r>
      <w:r w:rsidR="00051D65">
        <w:rPr>
          <w:rFonts w:ascii="Times New Roman" w:hAnsi="Times New Roman"/>
          <w:lang w:val="fr-BE"/>
        </w:rPr>
        <w:t xml:space="preserve"> </w:t>
      </w:r>
      <w:r w:rsidR="001F3463">
        <w:rPr>
          <w:rFonts w:ascii="Times New Roman" w:hAnsi="Times New Roman"/>
          <w:lang w:val="fr-BE"/>
        </w:rPr>
        <w:t>« (t)</w:t>
      </w:r>
      <w:r w:rsidR="001F3463" w:rsidRPr="001B0FC3">
        <w:rPr>
          <w:rFonts w:ascii="Times New Roman" w:hAnsi="Times New Roman"/>
          <w:lang w:val="fr-BE"/>
        </w:rPr>
        <w:t>outes les dispositions légales relatives à l’urbanisme et à l’aménagement du territoire sont d’ordre public »</w:t>
      </w:r>
      <w:r w:rsidR="001F3463">
        <w:rPr>
          <w:rStyle w:val="Marquenotebasdepage"/>
          <w:rFonts w:ascii="Times New Roman" w:hAnsi="Times New Roman"/>
          <w:lang w:val="fr-BE"/>
        </w:rPr>
        <w:footnoteReference w:id="82"/>
      </w:r>
      <w:r w:rsidR="00C41F2B">
        <w:rPr>
          <w:rFonts w:ascii="Times New Roman" w:hAnsi="Times New Roman"/>
          <w:lang w:val="fr-BE"/>
        </w:rPr>
        <w:t xml:space="preserve"> </w:t>
      </w:r>
      <w:r w:rsidR="0018242F">
        <w:t>ou</w:t>
      </w:r>
      <w:r w:rsidR="00797B0F">
        <w:t> :</w:t>
      </w:r>
      <w:r w:rsidR="0018242F">
        <w:t xml:space="preserve"> « la loi sur les marchés publics est d’ordre public »</w:t>
      </w:r>
      <w:r w:rsidR="0018242F">
        <w:rPr>
          <w:rStyle w:val="Marquenotebasdepage"/>
        </w:rPr>
        <w:footnoteReference w:id="83"/>
      </w:r>
      <w:r w:rsidR="00F51EC1">
        <w:t xml:space="preserve">. </w:t>
      </w:r>
      <w:r w:rsidR="00B062BF">
        <w:t>En ce qui concerne cette dernière affirmation, elle est largement contestée, à tout le moins nuancée, par la doctrine spécialisée</w:t>
      </w:r>
      <w:r w:rsidR="00B062BF">
        <w:rPr>
          <w:rStyle w:val="Marquenotebasdepage"/>
        </w:rPr>
        <w:footnoteReference w:id="84"/>
      </w:r>
      <w:r w:rsidR="00B062BF">
        <w:t xml:space="preserve"> et le Conseil d’Etat</w:t>
      </w:r>
      <w:r w:rsidR="0026020A">
        <w:rPr>
          <w:rStyle w:val="Marquenotebasdepage"/>
        </w:rPr>
        <w:footnoteReference w:id="85"/>
      </w:r>
      <w:r w:rsidR="00B062BF">
        <w:t xml:space="preserve">. Si le statut d’ordre public doit en effet être reconnu aux </w:t>
      </w:r>
      <w:r w:rsidR="00B062BF" w:rsidRPr="000B0FB2">
        <w:t>dispositions relatives aux modes de passation des marchés publics, à tout le moins</w:t>
      </w:r>
      <w:r w:rsidR="0026020A">
        <w:t xml:space="preserve"> en ce qu’elles concernent le </w:t>
      </w:r>
      <w:r w:rsidR="00B062BF" w:rsidRPr="000B0FB2">
        <w:t>principe fondamental de la concurrence</w:t>
      </w:r>
      <w:r w:rsidR="00B062BF">
        <w:t xml:space="preserve">, de nombreuses règles </w:t>
      </w:r>
      <w:r w:rsidR="00BC4C8D">
        <w:t xml:space="preserve">issues de la réglementation des marchés publics ont </w:t>
      </w:r>
      <w:r w:rsidR="00B062BF">
        <w:t>avant tou</w:t>
      </w:r>
      <w:r w:rsidR="00BC4C8D">
        <w:t>t pour objet de protéger l</w:t>
      </w:r>
      <w:r w:rsidR="00B062BF">
        <w:t>es intérêts privés</w:t>
      </w:r>
      <w:r w:rsidR="00BC4C8D">
        <w:t xml:space="preserve"> des soumissionnaires</w:t>
      </w:r>
      <w:r w:rsidR="00B062BF">
        <w:rPr>
          <w:rStyle w:val="Marquenotebasdepage"/>
        </w:rPr>
        <w:footnoteReference w:id="86"/>
      </w:r>
      <w:r w:rsidR="00B062BF">
        <w:t xml:space="preserve">. </w:t>
      </w:r>
    </w:p>
    <w:p w14:paraId="68F8D6E3" w14:textId="77777777" w:rsidR="001F3463" w:rsidRDefault="001F3463" w:rsidP="00303C58">
      <w:pPr>
        <w:jc w:val="both"/>
        <w:rPr>
          <w:rFonts w:ascii="Times New Roman" w:hAnsi="Times New Roman"/>
          <w:lang w:val="fr-BE"/>
        </w:rPr>
      </w:pPr>
    </w:p>
    <w:p w14:paraId="05C2F89F" w14:textId="43D2FF85" w:rsidR="00C41F2B" w:rsidRDefault="001F3463" w:rsidP="00C41F2B">
      <w:pPr>
        <w:jc w:val="both"/>
        <w:rPr>
          <w:rFonts w:ascii="Times New Roman" w:hAnsi="Times New Roman"/>
          <w:lang w:val="fr-BE"/>
        </w:rPr>
      </w:pPr>
      <w:r>
        <w:t xml:space="preserve">De même, </w:t>
      </w:r>
      <w:r w:rsidRPr="001B0FC3">
        <w:rPr>
          <w:rFonts w:ascii="Times New Roman" w:hAnsi="Times New Roman"/>
          <w:lang w:val="fr-BE"/>
        </w:rPr>
        <w:t>tant la doctrine que la jurisprudence ont reconnu que les normes régionales en matière de salubrité, de sécurité et d’habi</w:t>
      </w:r>
      <w:r>
        <w:rPr>
          <w:rFonts w:ascii="Times New Roman" w:hAnsi="Times New Roman"/>
          <w:lang w:val="fr-BE"/>
        </w:rPr>
        <w:t>tabilité étaient d’ordre public</w:t>
      </w:r>
      <w:r>
        <w:rPr>
          <w:rStyle w:val="Marquenotebasdepage"/>
          <w:rFonts w:ascii="Times New Roman" w:hAnsi="Times New Roman"/>
          <w:lang w:val="fr-BE"/>
        </w:rPr>
        <w:footnoteReference w:id="87"/>
      </w:r>
      <w:r>
        <w:rPr>
          <w:rFonts w:ascii="Times New Roman" w:hAnsi="Times New Roman"/>
          <w:lang w:val="fr-BE"/>
        </w:rPr>
        <w:t xml:space="preserve">. La Cour de cassation </w:t>
      </w:r>
      <w:r>
        <w:rPr>
          <w:rFonts w:ascii="Times New Roman" w:hAnsi="Times New Roman"/>
          <w:lang w:val="fr-BE"/>
        </w:rPr>
        <w:lastRenderedPageBreak/>
        <w:t>a récemment confirmé que les</w:t>
      </w:r>
      <w:r w:rsidRPr="001B0FC3">
        <w:rPr>
          <w:rFonts w:ascii="Times New Roman" w:hAnsi="Times New Roman"/>
          <w:lang w:val="fr-BE"/>
        </w:rPr>
        <w:t xml:space="preserve"> </w:t>
      </w:r>
      <w:r>
        <w:rPr>
          <w:rFonts w:ascii="Times New Roman" w:hAnsi="Times New Roman"/>
          <w:lang w:val="fr-BE"/>
        </w:rPr>
        <w:t>« </w:t>
      </w:r>
      <w:r w:rsidRPr="001B0FC3">
        <w:rPr>
          <w:rFonts w:ascii="Times New Roman" w:hAnsi="Times New Roman"/>
          <w:lang w:val="fr-BE"/>
        </w:rPr>
        <w:t>normes de qualité d'habitation contenues dans le Vlaamse Wooncode</w:t>
      </w:r>
      <w:r>
        <w:rPr>
          <w:rFonts w:ascii="Times New Roman" w:hAnsi="Times New Roman"/>
          <w:lang w:val="fr-BE"/>
        </w:rPr>
        <w:t> »</w:t>
      </w:r>
      <w:r w:rsidRPr="001B0FC3">
        <w:rPr>
          <w:rFonts w:ascii="Times New Roman" w:hAnsi="Times New Roman"/>
          <w:lang w:val="fr-BE"/>
        </w:rPr>
        <w:t xml:space="preserve"> </w:t>
      </w:r>
      <w:r>
        <w:rPr>
          <w:rFonts w:ascii="Times New Roman" w:hAnsi="Times New Roman"/>
          <w:lang w:val="fr-BE"/>
        </w:rPr>
        <w:t>étaient</w:t>
      </w:r>
      <w:r w:rsidRPr="001B0FC3">
        <w:rPr>
          <w:rFonts w:ascii="Times New Roman" w:hAnsi="Times New Roman"/>
          <w:lang w:val="fr-BE"/>
        </w:rPr>
        <w:t xml:space="preserve"> </w:t>
      </w:r>
      <w:r>
        <w:rPr>
          <w:rFonts w:ascii="Times New Roman" w:hAnsi="Times New Roman"/>
          <w:lang w:val="fr-BE"/>
        </w:rPr>
        <w:t>« </w:t>
      </w:r>
      <w:r w:rsidRPr="001B0FC3">
        <w:rPr>
          <w:rFonts w:ascii="Times New Roman" w:hAnsi="Times New Roman"/>
          <w:lang w:val="fr-BE"/>
        </w:rPr>
        <w:t>d'ordre public</w:t>
      </w:r>
      <w:r>
        <w:rPr>
          <w:rFonts w:ascii="Times New Roman" w:hAnsi="Times New Roman"/>
          <w:lang w:val="fr-BE"/>
        </w:rPr>
        <w:t> »</w:t>
      </w:r>
      <w:r>
        <w:rPr>
          <w:rStyle w:val="Marquenotebasdepage"/>
          <w:rFonts w:ascii="Times New Roman" w:hAnsi="Times New Roman"/>
          <w:lang w:val="fr-BE"/>
        </w:rPr>
        <w:footnoteReference w:id="88"/>
      </w:r>
      <w:r>
        <w:rPr>
          <w:rFonts w:ascii="Times New Roman" w:hAnsi="Times New Roman"/>
          <w:lang w:val="fr-BE"/>
        </w:rPr>
        <w:t xml:space="preserve">. </w:t>
      </w:r>
      <w:r w:rsidR="00C41F2B">
        <w:rPr>
          <w:rFonts w:ascii="Times New Roman" w:hAnsi="Times New Roman"/>
          <w:lang w:val="fr-BE"/>
        </w:rPr>
        <w:t xml:space="preserve">Dès lors que ces exigences tendent à assurer le respect de la dignité humaine protégé par l’article 23 de la Constitution, il n’est pas absurde de considérer que, envisagées ensemble, ces règles touchent </w:t>
      </w:r>
      <w:r w:rsidR="00C41F2B" w:rsidRPr="001B0FC3">
        <w:rPr>
          <w:rFonts w:ascii="Times New Roman" w:hAnsi="Times New Roman"/>
          <w:lang w:val="fr-BE"/>
        </w:rPr>
        <w:t xml:space="preserve">aux intérêts essentiels de la collectivité et </w:t>
      </w:r>
      <w:r w:rsidR="00C41F2B">
        <w:rPr>
          <w:rFonts w:ascii="Times New Roman" w:hAnsi="Times New Roman"/>
          <w:lang w:val="fr-BE"/>
        </w:rPr>
        <w:t xml:space="preserve">participent à </w:t>
      </w:r>
      <w:r w:rsidR="00C41F2B" w:rsidRPr="001B0FC3">
        <w:rPr>
          <w:rFonts w:ascii="Times New Roman" w:hAnsi="Times New Roman"/>
          <w:lang w:val="fr-BE"/>
        </w:rPr>
        <w:t>fixe</w:t>
      </w:r>
      <w:r w:rsidR="00C41F2B">
        <w:rPr>
          <w:rFonts w:ascii="Times New Roman" w:hAnsi="Times New Roman"/>
          <w:lang w:val="fr-BE"/>
        </w:rPr>
        <w:t>r</w:t>
      </w:r>
      <w:r w:rsidR="00C41F2B" w:rsidRPr="001B0FC3">
        <w:rPr>
          <w:rFonts w:ascii="Times New Roman" w:hAnsi="Times New Roman"/>
          <w:lang w:val="fr-BE"/>
        </w:rPr>
        <w:t xml:space="preserve"> les bases juridiques sur lesquelles repose l'ordre économique ou moral de la société</w:t>
      </w:r>
      <w:r w:rsidR="00C41F2B">
        <w:rPr>
          <w:rFonts w:ascii="Times New Roman" w:hAnsi="Times New Roman"/>
          <w:lang w:val="fr-BE"/>
        </w:rPr>
        <w:t xml:space="preserve">. </w:t>
      </w:r>
      <w:r>
        <w:rPr>
          <w:rFonts w:ascii="Times New Roman" w:hAnsi="Times New Roman"/>
          <w:lang w:val="fr-BE"/>
        </w:rPr>
        <w:t>Cela ne signifie pas pour autant que chacune de ces règles, prise individuellement, relève de l’ordre public. Il est manifeste que, dans certains cas, la sanction de la nullité, qui prive le locataire de tout titre ou droit à occuper les lieux loués, irait à l’encontre de l’intention du législateur régional</w:t>
      </w:r>
      <w:r>
        <w:rPr>
          <w:rStyle w:val="Marquenotebasdepage"/>
          <w:rFonts w:ascii="Times New Roman" w:hAnsi="Times New Roman"/>
          <w:lang w:val="fr-BE"/>
        </w:rPr>
        <w:footnoteReference w:id="89"/>
      </w:r>
      <w:r w:rsidR="00C41F2B">
        <w:rPr>
          <w:rFonts w:ascii="Times New Roman" w:hAnsi="Times New Roman"/>
          <w:lang w:val="fr-BE"/>
        </w:rPr>
        <w:t xml:space="preserve">, dont l’objectif </w:t>
      </w:r>
      <w:r w:rsidR="00BC4C8D">
        <w:rPr>
          <w:rFonts w:ascii="Times New Roman" w:hAnsi="Times New Roman"/>
          <w:lang w:val="fr-BE"/>
        </w:rPr>
        <w:t xml:space="preserve">est </w:t>
      </w:r>
      <w:r w:rsidR="00C41F2B">
        <w:rPr>
          <w:rFonts w:ascii="Times New Roman" w:hAnsi="Times New Roman"/>
          <w:lang w:val="fr-BE"/>
        </w:rPr>
        <w:t>d’éviter que les logements soient insalubres, inhabitables ou qu’ils ne présentent pas la sécurité nécessaire pour être occupés sans danger</w:t>
      </w:r>
      <w:r w:rsidR="00C41F2B">
        <w:rPr>
          <w:rStyle w:val="Marquenotebasdepage"/>
          <w:rFonts w:ascii="Times New Roman" w:hAnsi="Times New Roman"/>
          <w:lang w:val="fr-BE"/>
        </w:rPr>
        <w:footnoteReference w:id="90"/>
      </w:r>
      <w:r w:rsidR="00C41F2B">
        <w:rPr>
          <w:rFonts w:ascii="Times New Roman" w:hAnsi="Times New Roman"/>
          <w:lang w:val="fr-BE"/>
        </w:rPr>
        <w:t>.</w:t>
      </w:r>
      <w:r>
        <w:rPr>
          <w:rFonts w:ascii="Times New Roman" w:hAnsi="Times New Roman"/>
          <w:lang w:val="fr-BE"/>
        </w:rPr>
        <w:t xml:space="preserve"> </w:t>
      </w:r>
    </w:p>
    <w:p w14:paraId="5AAEA1D8" w14:textId="7858F10C" w:rsidR="00DF0C25" w:rsidRDefault="00DF0C25" w:rsidP="00303C58">
      <w:pPr>
        <w:jc w:val="both"/>
        <w:rPr>
          <w:rFonts w:ascii="Times New Roman" w:hAnsi="Times New Roman"/>
          <w:lang w:val="fr-BE"/>
        </w:rPr>
      </w:pPr>
    </w:p>
    <w:p w14:paraId="6867066A" w14:textId="7AC001C2" w:rsidR="00986911" w:rsidRPr="00B47BD6" w:rsidRDefault="00E67A43" w:rsidP="00986911">
      <w:pPr>
        <w:jc w:val="both"/>
        <w:rPr>
          <w:rFonts w:ascii="Times New Roman" w:hAnsi="Times New Roman"/>
          <w:lang w:val="fr-BE"/>
        </w:rPr>
      </w:pPr>
      <w:r>
        <w:rPr>
          <w:rFonts w:ascii="Times New Roman" w:hAnsi="Times New Roman"/>
          <w:b/>
          <w:lang w:val="fr-BE"/>
        </w:rPr>
        <w:t>2</w:t>
      </w:r>
      <w:r w:rsidR="003F06AA">
        <w:rPr>
          <w:rFonts w:ascii="Times New Roman" w:hAnsi="Times New Roman"/>
          <w:b/>
          <w:lang w:val="fr-BE"/>
        </w:rPr>
        <w:t>4</w:t>
      </w:r>
      <w:r w:rsidR="00986911" w:rsidRPr="00986911">
        <w:rPr>
          <w:rFonts w:ascii="Times New Roman" w:hAnsi="Times New Roman"/>
          <w:b/>
          <w:lang w:val="fr-BE"/>
        </w:rPr>
        <w:t xml:space="preserve">. – </w:t>
      </w:r>
      <w:r w:rsidR="00986911">
        <w:rPr>
          <w:rFonts w:ascii="Times New Roman" w:hAnsi="Times New Roman"/>
          <w:b/>
          <w:lang w:val="fr-BE"/>
        </w:rPr>
        <w:t>La s</w:t>
      </w:r>
      <w:r w:rsidR="00986911" w:rsidRPr="00986911">
        <w:rPr>
          <w:rFonts w:ascii="Times New Roman" w:hAnsi="Times New Roman"/>
          <w:b/>
          <w:lang w:val="fr-BE"/>
        </w:rPr>
        <w:t>anction pénale</w:t>
      </w:r>
      <w:r w:rsidR="00986911">
        <w:rPr>
          <w:rFonts w:ascii="Times New Roman" w:hAnsi="Times New Roman"/>
          <w:b/>
          <w:lang w:val="fr-BE"/>
        </w:rPr>
        <w:t> : un indice, pas un test infaillible.</w:t>
      </w:r>
      <w:r w:rsidR="00986911">
        <w:rPr>
          <w:rFonts w:ascii="Times New Roman" w:hAnsi="Times New Roman"/>
          <w:lang w:val="fr-BE"/>
        </w:rPr>
        <w:t xml:space="preserve"> </w:t>
      </w:r>
      <w:r w:rsidR="00BF5134">
        <w:rPr>
          <w:rFonts w:ascii="Times New Roman" w:hAnsi="Times New Roman"/>
          <w:lang w:val="fr-BE"/>
        </w:rPr>
        <w:t xml:space="preserve">Le deuxième réflexe dont il faut se débarrasser est </w:t>
      </w:r>
      <w:r w:rsidR="00BC4C8D">
        <w:rPr>
          <w:rFonts w:ascii="Times New Roman" w:hAnsi="Times New Roman"/>
          <w:lang w:val="fr-BE"/>
        </w:rPr>
        <w:t xml:space="preserve">celui qui tend à qualifier </w:t>
      </w:r>
      <w:r w:rsidR="00BF5134">
        <w:rPr>
          <w:rFonts w:ascii="Times New Roman" w:hAnsi="Times New Roman"/>
          <w:lang w:val="fr-BE"/>
        </w:rPr>
        <w:t xml:space="preserve">une norme d’ordre public uniquement parce que sa violation est sanctionnée pénalement. </w:t>
      </w:r>
      <w:r w:rsidR="00202F3F">
        <w:rPr>
          <w:rFonts w:ascii="Times New Roman" w:hAnsi="Times New Roman"/>
          <w:lang w:val="fr-BE"/>
        </w:rPr>
        <w:t>Or, c’est souvent cette circonstance qui amène jurisprudence</w:t>
      </w:r>
      <w:r w:rsidR="00202F3F">
        <w:rPr>
          <w:rStyle w:val="Marquenotebasdepage"/>
          <w:rFonts w:ascii="Times New Roman" w:hAnsi="Times New Roman"/>
          <w:lang w:val="fr-BE"/>
        </w:rPr>
        <w:footnoteReference w:id="91"/>
      </w:r>
      <w:r w:rsidR="00202F3F">
        <w:rPr>
          <w:rFonts w:ascii="Times New Roman" w:hAnsi="Times New Roman"/>
          <w:lang w:val="fr-BE"/>
        </w:rPr>
        <w:t xml:space="preserve"> et doctrine</w:t>
      </w:r>
      <w:r w:rsidR="00202F3F" w:rsidRPr="001B0FC3">
        <w:rPr>
          <w:rStyle w:val="Marquenotebasdepage"/>
          <w:rFonts w:ascii="Times New Roman" w:hAnsi="Times New Roman"/>
        </w:rPr>
        <w:footnoteReference w:id="92"/>
      </w:r>
      <w:r w:rsidR="00202F3F">
        <w:rPr>
          <w:rFonts w:ascii="Times New Roman" w:hAnsi="Times New Roman"/>
          <w:lang w:val="fr-BE"/>
        </w:rPr>
        <w:t xml:space="preserve"> à conclure au caractère d’ordre public de la norme considérée. </w:t>
      </w:r>
      <w:r w:rsidR="00BF5134">
        <w:t xml:space="preserve">De Page le relevait </w:t>
      </w:r>
      <w:r w:rsidR="00202F3F">
        <w:t xml:space="preserve">pourtant </w:t>
      </w:r>
      <w:r w:rsidR="00BF5134">
        <w:t xml:space="preserve">déjà, </w:t>
      </w:r>
      <w:r w:rsidR="00BF5134" w:rsidRPr="001B0FC3">
        <w:rPr>
          <w:rFonts w:ascii="Times New Roman" w:hAnsi="Times New Roman"/>
          <w:lang w:val="fr-BE"/>
        </w:rPr>
        <w:t xml:space="preserve">la déduction selon laquelle l’interdiction pénale entraîne la nullité civile « est </w:t>
      </w:r>
      <w:r w:rsidR="00BF5134" w:rsidRPr="001B0FC3">
        <w:rPr>
          <w:rFonts w:ascii="Times New Roman" w:hAnsi="Times New Roman"/>
          <w:i/>
          <w:lang w:val="fr-BE"/>
        </w:rPr>
        <w:t>inexacte</w:t>
      </w:r>
      <w:r w:rsidR="00BF5134" w:rsidRPr="001B0FC3">
        <w:rPr>
          <w:rFonts w:ascii="Times New Roman" w:hAnsi="Times New Roman"/>
          <w:lang w:val="fr-BE"/>
        </w:rPr>
        <w:t xml:space="preserve">, tout au moins comme </w:t>
      </w:r>
      <w:r w:rsidR="00BF5134" w:rsidRPr="001B0FC3">
        <w:rPr>
          <w:rFonts w:ascii="Times New Roman" w:hAnsi="Times New Roman"/>
          <w:i/>
          <w:lang w:val="fr-BE"/>
        </w:rPr>
        <w:t>principe général</w:t>
      </w:r>
      <w:r w:rsidR="00BF5134" w:rsidRPr="001B0FC3">
        <w:rPr>
          <w:rFonts w:ascii="Times New Roman" w:hAnsi="Times New Roman"/>
          <w:lang w:val="fr-BE"/>
        </w:rPr>
        <w:t> » car « </w:t>
      </w:r>
      <w:r w:rsidR="00BF5134">
        <w:rPr>
          <w:rFonts w:ascii="Times New Roman" w:hAnsi="Times New Roman"/>
          <w:lang w:val="fr-BE"/>
        </w:rPr>
        <w:t>(s)</w:t>
      </w:r>
      <w:r w:rsidR="00BF5134" w:rsidRPr="001B0FC3">
        <w:rPr>
          <w:rFonts w:ascii="Times New Roman" w:hAnsi="Times New Roman"/>
          <w:lang w:val="fr-BE"/>
        </w:rPr>
        <w:t xml:space="preserve">ouvent, le droit pénal se place, pour réprimer un fait, </w:t>
      </w:r>
      <w:r w:rsidR="00BF5134" w:rsidRPr="001B0FC3">
        <w:rPr>
          <w:rFonts w:ascii="Times New Roman" w:hAnsi="Times New Roman"/>
          <w:i/>
          <w:lang w:val="fr-BE"/>
        </w:rPr>
        <w:t>à un tout autre point de vue que le droit civil</w:t>
      </w:r>
      <w:r w:rsidR="00BF5134" w:rsidRPr="001B0FC3">
        <w:rPr>
          <w:rFonts w:ascii="Times New Roman" w:hAnsi="Times New Roman"/>
          <w:lang w:val="fr-BE"/>
        </w:rPr>
        <w:t> »</w:t>
      </w:r>
      <w:r w:rsidR="00BF5134" w:rsidRPr="001B0FC3">
        <w:rPr>
          <w:rStyle w:val="Marquenotebasdepage"/>
          <w:rFonts w:ascii="Times New Roman" w:hAnsi="Times New Roman"/>
          <w:lang w:val="fr-BE"/>
        </w:rPr>
        <w:footnoteReference w:id="93"/>
      </w:r>
      <w:r w:rsidR="00BF5134">
        <w:rPr>
          <w:rFonts w:ascii="Times New Roman" w:hAnsi="Times New Roman"/>
          <w:lang w:val="fr-BE"/>
        </w:rPr>
        <w:t xml:space="preserve">. </w:t>
      </w:r>
      <w:r w:rsidR="00BF5134">
        <w:t>Ces propos ont, depuis, été relayés par d’autres auteurs</w:t>
      </w:r>
      <w:r w:rsidR="00BF5134" w:rsidRPr="001B0FC3">
        <w:rPr>
          <w:rStyle w:val="Marquenotebasdepage"/>
          <w:rFonts w:ascii="Times New Roman" w:hAnsi="Times New Roman"/>
          <w:lang w:val="fr-BE"/>
        </w:rPr>
        <w:footnoteReference w:id="94"/>
      </w:r>
      <w:r w:rsidR="00986911">
        <w:t xml:space="preserve"> et, plus récemment, par la Cour de cassation qui a considéré que </w:t>
      </w:r>
      <w:r w:rsidR="00986911">
        <w:rPr>
          <w:rFonts w:ascii="Times New Roman" w:hAnsi="Times New Roman"/>
          <w:lang w:val="fr-BE"/>
        </w:rPr>
        <w:t>l</w:t>
      </w:r>
      <w:r w:rsidR="00986911" w:rsidRPr="00B47BD6">
        <w:rPr>
          <w:rFonts w:ascii="Times New Roman" w:hAnsi="Times New Roman"/>
          <w:lang w:val="fr-BE"/>
        </w:rPr>
        <w:t>a circonstance que la conclusion d</w:t>
      </w:r>
      <w:r w:rsidR="00986911">
        <w:rPr>
          <w:rFonts w:ascii="Times New Roman" w:hAnsi="Times New Roman"/>
          <w:lang w:val="fr-BE"/>
        </w:rPr>
        <w:t>’</w:t>
      </w:r>
      <w:r w:rsidR="00986911" w:rsidRPr="00B47BD6">
        <w:rPr>
          <w:rFonts w:ascii="Times New Roman" w:hAnsi="Times New Roman"/>
          <w:lang w:val="fr-BE"/>
        </w:rPr>
        <w:t>un contrat en dehors de l</w:t>
      </w:r>
      <w:r w:rsidR="00986911">
        <w:rPr>
          <w:rFonts w:ascii="Times New Roman" w:hAnsi="Times New Roman"/>
          <w:lang w:val="fr-BE"/>
        </w:rPr>
        <w:t>’</w:t>
      </w:r>
      <w:r w:rsidR="00986911" w:rsidRPr="00B47BD6">
        <w:rPr>
          <w:rFonts w:ascii="Times New Roman" w:hAnsi="Times New Roman"/>
          <w:lang w:val="fr-BE"/>
        </w:rPr>
        <w:t xml:space="preserve">entreprise </w:t>
      </w:r>
      <w:r w:rsidR="00986911">
        <w:rPr>
          <w:rFonts w:ascii="Times New Roman" w:hAnsi="Times New Roman"/>
          <w:lang w:val="fr-BE"/>
        </w:rPr>
        <w:t>du vendeur « </w:t>
      </w:r>
      <w:r w:rsidR="00986911" w:rsidRPr="00B47BD6">
        <w:rPr>
          <w:rFonts w:ascii="Times New Roman" w:hAnsi="Times New Roman"/>
          <w:lang w:val="fr-BE"/>
        </w:rPr>
        <w:t>soit punie d'une amende pénale lorsque le droit de renonciation du consommateur n'y est pas énoncé dans les termes légaux n'implique pas que ce contrat soit frappé de nullité absolue</w:t>
      </w:r>
      <w:r w:rsidR="00986911">
        <w:rPr>
          <w:rFonts w:ascii="Times New Roman" w:hAnsi="Times New Roman"/>
          <w:lang w:val="fr-BE"/>
        </w:rPr>
        <w:t> »</w:t>
      </w:r>
      <w:r w:rsidR="00986911">
        <w:rPr>
          <w:rStyle w:val="Marquenotebasdepage"/>
          <w:rFonts w:ascii="Times New Roman" w:hAnsi="Times New Roman"/>
          <w:lang w:val="fr-BE"/>
        </w:rPr>
        <w:footnoteReference w:id="95"/>
      </w:r>
      <w:r w:rsidR="00986911" w:rsidRPr="00B47BD6">
        <w:rPr>
          <w:rFonts w:ascii="Times New Roman" w:hAnsi="Times New Roman"/>
          <w:lang w:val="fr-BE"/>
        </w:rPr>
        <w:t xml:space="preserve">. </w:t>
      </w:r>
    </w:p>
    <w:p w14:paraId="33F96E06" w14:textId="77777777" w:rsidR="00986911" w:rsidRDefault="00986911" w:rsidP="00BF5134">
      <w:pPr>
        <w:jc w:val="both"/>
      </w:pPr>
    </w:p>
    <w:p w14:paraId="07AB9083" w14:textId="438112FE" w:rsidR="00B47BD6" w:rsidRPr="00986911" w:rsidRDefault="00BD1891" w:rsidP="00BF5134">
      <w:pPr>
        <w:jc w:val="both"/>
      </w:pPr>
      <w:r>
        <w:t>I</w:t>
      </w:r>
      <w:r w:rsidR="00BF5134">
        <w:t xml:space="preserve">l convient </w:t>
      </w:r>
      <w:r>
        <w:t xml:space="preserve">en fait </w:t>
      </w:r>
      <w:r w:rsidR="00BF5134">
        <w:t>d’opérer une distinction entre la loi pénale, qui est incontestablement d’ordre public</w:t>
      </w:r>
      <w:r w:rsidR="00BF5134">
        <w:rPr>
          <w:rStyle w:val="Marquenotebasdepage"/>
          <w:rFonts w:ascii="Times New Roman" w:hAnsi="Times New Roman"/>
          <w:lang w:val="fr-BE"/>
        </w:rPr>
        <w:footnoteReference w:id="96"/>
      </w:r>
      <w:r w:rsidR="00BF5134">
        <w:t xml:space="preserve">, et la règle </w:t>
      </w:r>
      <w:r w:rsidR="002E3AE2">
        <w:t>dont elle</w:t>
      </w:r>
      <w:r w:rsidR="00BF5134">
        <w:t xml:space="preserve"> vient sanctionner</w:t>
      </w:r>
      <w:r w:rsidR="002E3AE2">
        <w:t xml:space="preserve"> la violation</w:t>
      </w:r>
      <w:r w:rsidR="00BF5134">
        <w:t>, qui ne l’est pas nécessairement</w:t>
      </w:r>
      <w:r w:rsidR="00BF5134">
        <w:rPr>
          <w:rStyle w:val="Marquenotebasdepage"/>
        </w:rPr>
        <w:footnoteReference w:id="97"/>
      </w:r>
      <w:r w:rsidR="00BF5134">
        <w:t xml:space="preserve">, même si </w:t>
      </w:r>
      <w:r w:rsidR="00BF5134">
        <w:rPr>
          <w:rFonts w:ascii="Times New Roman" w:eastAsia="Times New Roman"/>
        </w:rPr>
        <w:t>« </w:t>
      </w:r>
      <w:r w:rsidR="00BF5134" w:rsidRPr="009D6429">
        <w:rPr>
          <w:rFonts w:ascii="Times New Roman" w:eastAsia="Times New Roman"/>
        </w:rPr>
        <w:t>la sanction p</w:t>
      </w:r>
      <w:r w:rsidR="00BF5134" w:rsidRPr="009D6429">
        <w:rPr>
          <w:rFonts w:ascii="Times New Roman" w:eastAsia="Times New Roman"/>
        </w:rPr>
        <w:t>é</w:t>
      </w:r>
      <w:r w:rsidR="00BF5134" w:rsidRPr="009D6429">
        <w:rPr>
          <w:rFonts w:ascii="Times New Roman" w:eastAsia="Times New Roman"/>
        </w:rPr>
        <w:t>nale sera toutefois un indice significatif du caract</w:t>
      </w:r>
      <w:r w:rsidR="00BF5134" w:rsidRPr="009D6429">
        <w:rPr>
          <w:rFonts w:ascii="Times New Roman" w:eastAsia="Times New Roman"/>
        </w:rPr>
        <w:t>è</w:t>
      </w:r>
      <w:r w:rsidR="00BF5134" w:rsidRPr="009D6429">
        <w:rPr>
          <w:rFonts w:ascii="Times New Roman" w:eastAsia="Times New Roman"/>
        </w:rPr>
        <w:t>re d</w:t>
      </w:r>
      <w:r w:rsidR="00BF5134" w:rsidRPr="009D6429">
        <w:rPr>
          <w:rFonts w:ascii="Times New Roman" w:eastAsia="Times New Roman"/>
        </w:rPr>
        <w:t>’</w:t>
      </w:r>
      <w:r w:rsidR="00BF5134" w:rsidRPr="009D6429">
        <w:rPr>
          <w:rFonts w:ascii="Times New Roman" w:eastAsia="Times New Roman"/>
        </w:rPr>
        <w:t>ordre public de la norme</w:t>
      </w:r>
      <w:r w:rsidR="00BF5134">
        <w:rPr>
          <w:rFonts w:ascii="Times New Roman" w:eastAsia="Times New Roman"/>
        </w:rPr>
        <w:t> »</w:t>
      </w:r>
      <w:r w:rsidR="00BF5134" w:rsidRPr="009D6429">
        <w:rPr>
          <w:rStyle w:val="Marquenotebasdepage"/>
          <w:rFonts w:ascii="Times New Roman" w:eastAsia="Times New Roman"/>
        </w:rPr>
        <w:t xml:space="preserve"> </w:t>
      </w:r>
      <w:r w:rsidR="00BF5134">
        <w:rPr>
          <w:rStyle w:val="Marquenotebasdepage"/>
          <w:rFonts w:ascii="Times New Roman" w:eastAsia="Times New Roman"/>
        </w:rPr>
        <w:footnoteReference w:id="98"/>
      </w:r>
      <w:r w:rsidR="00BF5134" w:rsidRPr="009D6429">
        <w:rPr>
          <w:rFonts w:ascii="Times New Roman" w:eastAsia="Times New Roman"/>
        </w:rPr>
        <w:t>.</w:t>
      </w:r>
      <w:r w:rsidR="00BF5134">
        <w:t xml:space="preserve"> Il en va de même, </w:t>
      </w:r>
      <w:r w:rsidR="00BF5134" w:rsidRPr="002476AE">
        <w:rPr>
          <w:i/>
        </w:rPr>
        <w:t>a fortiori</w:t>
      </w:r>
      <w:r w:rsidR="00BF5134">
        <w:t xml:space="preserve">, des normes qui sont punies de sanctions administratives. </w:t>
      </w:r>
    </w:p>
    <w:p w14:paraId="6901785D" w14:textId="111E3651" w:rsidR="00DF0C25" w:rsidRDefault="00DF0C25" w:rsidP="00DF0C25">
      <w:pPr>
        <w:jc w:val="both"/>
        <w:rPr>
          <w:rFonts w:ascii="Times New Roman" w:hAnsi="Times New Roman"/>
          <w:lang w:val="fr-BE"/>
        </w:rPr>
      </w:pPr>
    </w:p>
    <w:p w14:paraId="5224C0E7" w14:textId="5A3FF733" w:rsidR="007D61A6" w:rsidRDefault="00E67A43" w:rsidP="007D61A6">
      <w:pPr>
        <w:jc w:val="both"/>
        <w:rPr>
          <w:rFonts w:ascii="Times New Roman" w:hAnsi="Times New Roman"/>
          <w:lang w:val="fr-BE"/>
        </w:rPr>
      </w:pPr>
      <w:r>
        <w:rPr>
          <w:rFonts w:ascii="Times New Roman" w:hAnsi="Times New Roman"/>
          <w:b/>
          <w:lang w:val="fr-BE"/>
        </w:rPr>
        <w:lastRenderedPageBreak/>
        <w:t>2</w:t>
      </w:r>
      <w:r w:rsidR="003F06AA">
        <w:rPr>
          <w:rFonts w:ascii="Times New Roman" w:hAnsi="Times New Roman"/>
          <w:b/>
          <w:lang w:val="fr-BE"/>
        </w:rPr>
        <w:t>5</w:t>
      </w:r>
      <w:r w:rsidR="00986911" w:rsidRPr="00986911">
        <w:rPr>
          <w:rFonts w:ascii="Times New Roman" w:hAnsi="Times New Roman"/>
          <w:b/>
          <w:lang w:val="fr-BE"/>
        </w:rPr>
        <w:t>. - Intérêt général et ordre public</w:t>
      </w:r>
      <w:r w:rsidR="003F06AA">
        <w:rPr>
          <w:rFonts w:ascii="Times New Roman" w:hAnsi="Times New Roman"/>
          <w:b/>
          <w:lang w:val="fr-BE"/>
        </w:rPr>
        <w:t> : de faux amis ?</w:t>
      </w:r>
      <w:r w:rsidR="00986911" w:rsidRPr="00986911">
        <w:rPr>
          <w:rFonts w:ascii="Times New Roman" w:hAnsi="Times New Roman"/>
          <w:b/>
          <w:lang w:val="fr-BE"/>
        </w:rPr>
        <w:t xml:space="preserve"> </w:t>
      </w:r>
      <w:r w:rsidR="00202F3F">
        <w:rPr>
          <w:rFonts w:ascii="Times New Roman" w:hAnsi="Times New Roman"/>
          <w:lang w:val="fr-BE"/>
        </w:rPr>
        <w:t xml:space="preserve">Dernier raccourci à éviter : </w:t>
      </w:r>
      <w:r w:rsidR="00AD1C83">
        <w:rPr>
          <w:rFonts w:ascii="Times New Roman" w:hAnsi="Times New Roman"/>
          <w:lang w:val="fr-BE"/>
        </w:rPr>
        <w:t>ce n’est pas parce qu’une</w:t>
      </w:r>
      <w:r w:rsidR="00202F3F">
        <w:rPr>
          <w:rFonts w:ascii="Times New Roman" w:hAnsi="Times New Roman"/>
          <w:lang w:val="fr-BE"/>
        </w:rPr>
        <w:t xml:space="preserve"> norme poursuit l’intérêt général </w:t>
      </w:r>
      <w:r w:rsidR="00AD1C83">
        <w:rPr>
          <w:rFonts w:ascii="Times New Roman" w:hAnsi="Times New Roman"/>
          <w:lang w:val="fr-BE"/>
        </w:rPr>
        <w:t xml:space="preserve">qu’elle </w:t>
      </w:r>
      <w:r w:rsidR="00202F3F">
        <w:rPr>
          <w:rFonts w:ascii="Times New Roman" w:hAnsi="Times New Roman"/>
          <w:lang w:val="fr-BE"/>
        </w:rPr>
        <w:t xml:space="preserve">relève </w:t>
      </w:r>
      <w:r w:rsidR="00AD1C83">
        <w:rPr>
          <w:rFonts w:ascii="Times New Roman" w:hAnsi="Times New Roman"/>
          <w:lang w:val="fr-BE"/>
        </w:rPr>
        <w:t>nécessairement</w:t>
      </w:r>
      <w:r w:rsidR="00202F3F">
        <w:rPr>
          <w:rFonts w:ascii="Times New Roman" w:hAnsi="Times New Roman"/>
          <w:lang w:val="fr-BE"/>
        </w:rPr>
        <w:t xml:space="preserve"> de l’ordre public. La catégorie de l’intérêt général est (heureusement) beaucoup plus large que celle de l’ordre public qui, rappelons-le, vise les règles protégeant les</w:t>
      </w:r>
      <w:r w:rsidR="00202F3F" w:rsidRPr="00202F3F">
        <w:rPr>
          <w:rFonts w:ascii="Times New Roman" w:hAnsi="Times New Roman"/>
          <w:lang w:val="fr-BE"/>
        </w:rPr>
        <w:t xml:space="preserve"> </w:t>
      </w:r>
      <w:r w:rsidR="00202F3F" w:rsidRPr="001B0FC3">
        <w:rPr>
          <w:rFonts w:ascii="Times New Roman" w:hAnsi="Times New Roman"/>
          <w:lang w:val="fr-BE"/>
        </w:rPr>
        <w:t xml:space="preserve">intérêts essentiels de la collectivité et </w:t>
      </w:r>
      <w:r w:rsidR="00202F3F">
        <w:rPr>
          <w:rFonts w:ascii="Times New Roman" w:hAnsi="Times New Roman"/>
          <w:lang w:val="fr-BE"/>
        </w:rPr>
        <w:t xml:space="preserve">qui participent à </w:t>
      </w:r>
      <w:r w:rsidR="00202F3F" w:rsidRPr="001B0FC3">
        <w:rPr>
          <w:rFonts w:ascii="Times New Roman" w:hAnsi="Times New Roman"/>
          <w:lang w:val="fr-BE"/>
        </w:rPr>
        <w:t>fixe</w:t>
      </w:r>
      <w:r w:rsidR="00202F3F">
        <w:rPr>
          <w:rFonts w:ascii="Times New Roman" w:hAnsi="Times New Roman"/>
          <w:lang w:val="fr-BE"/>
        </w:rPr>
        <w:t>r</w:t>
      </w:r>
      <w:r w:rsidR="00202F3F" w:rsidRPr="001B0FC3">
        <w:rPr>
          <w:rFonts w:ascii="Times New Roman" w:hAnsi="Times New Roman"/>
          <w:lang w:val="fr-BE"/>
        </w:rPr>
        <w:t xml:space="preserve"> les bases juridiques sur lesquelles repose l'ordre économique ou moral de la société</w:t>
      </w:r>
      <w:r w:rsidR="00202F3F">
        <w:rPr>
          <w:rFonts w:ascii="Times New Roman" w:hAnsi="Times New Roman"/>
          <w:lang w:val="fr-BE"/>
        </w:rPr>
        <w:t xml:space="preserve">. Le critère de l’intérêt général sert à opérer une distinction entre les règles </w:t>
      </w:r>
      <w:r w:rsidR="007D61A6">
        <w:rPr>
          <w:rFonts w:ascii="Times New Roman" w:hAnsi="Times New Roman"/>
          <w:lang w:val="fr-BE"/>
        </w:rPr>
        <w:t xml:space="preserve">impératives et </w:t>
      </w:r>
      <w:r w:rsidR="00202F3F">
        <w:rPr>
          <w:rFonts w:ascii="Times New Roman" w:hAnsi="Times New Roman"/>
          <w:lang w:val="fr-BE"/>
        </w:rPr>
        <w:t xml:space="preserve">d’ordre public mais ne suffit pas à </w:t>
      </w:r>
      <w:r w:rsidR="007D61A6">
        <w:rPr>
          <w:rFonts w:ascii="Times New Roman" w:hAnsi="Times New Roman"/>
          <w:lang w:val="fr-BE"/>
        </w:rPr>
        <w:t>qualifier</w:t>
      </w:r>
      <w:r w:rsidR="00202F3F">
        <w:rPr>
          <w:rFonts w:ascii="Times New Roman" w:hAnsi="Times New Roman"/>
          <w:lang w:val="fr-BE"/>
        </w:rPr>
        <w:t xml:space="preserve"> </w:t>
      </w:r>
      <w:r w:rsidR="007D61A6">
        <w:rPr>
          <w:rFonts w:ascii="Times New Roman" w:hAnsi="Times New Roman"/>
          <w:lang w:val="fr-BE"/>
        </w:rPr>
        <w:t xml:space="preserve">toute disposition légale de </w:t>
      </w:r>
      <w:r w:rsidR="00202F3F">
        <w:rPr>
          <w:rFonts w:ascii="Times New Roman" w:hAnsi="Times New Roman"/>
          <w:lang w:val="fr-BE"/>
        </w:rPr>
        <w:t xml:space="preserve">règle d’ordre public. Il s’agit, en d’autres termes, d’un critère nécessaire mais pas suffisant. </w:t>
      </w:r>
    </w:p>
    <w:p w14:paraId="69DD65ED" w14:textId="77777777" w:rsidR="007D61A6" w:rsidRDefault="007D61A6" w:rsidP="007D61A6">
      <w:pPr>
        <w:jc w:val="both"/>
        <w:rPr>
          <w:rFonts w:ascii="Times New Roman" w:hAnsi="Times New Roman"/>
          <w:lang w:val="fr-BE"/>
        </w:rPr>
      </w:pPr>
    </w:p>
    <w:p w14:paraId="6EB75804" w14:textId="6D9C36DF" w:rsidR="00BF5134" w:rsidRDefault="00202F3F" w:rsidP="00BF5134">
      <w:pPr>
        <w:jc w:val="both"/>
        <w:rPr>
          <w:rFonts w:ascii="Times New Roman" w:hAnsi="Times New Roman"/>
          <w:lang w:val="fr-BE"/>
        </w:rPr>
      </w:pPr>
      <w:r>
        <w:rPr>
          <w:rFonts w:ascii="Times New Roman" w:hAnsi="Times New Roman"/>
          <w:lang w:val="fr-BE"/>
        </w:rPr>
        <w:t>On ne peut que regretter, à cet égard, la formulation adoptée par la Cour de cassation dans son arrêt du 13 janvier 2011, qui justifie le fait que l’article 95 (ancien) du CWATUP</w:t>
      </w:r>
      <w:r w:rsidR="00BF5134" w:rsidRPr="00764847">
        <w:rPr>
          <w:rFonts w:ascii="Times New Roman" w:hAnsi="Times New Roman"/>
          <w:lang w:val="fr-BE"/>
        </w:rPr>
        <w:t xml:space="preserve"> fait obstacle à la vente par lots de biens dont la division est autorisée par </w:t>
      </w:r>
      <w:r w:rsidR="007D61A6">
        <w:rPr>
          <w:rFonts w:ascii="Times New Roman" w:hAnsi="Times New Roman"/>
          <w:lang w:val="fr-BE"/>
        </w:rPr>
        <w:t>un</w:t>
      </w:r>
      <w:r w:rsidR="00BF5134" w:rsidRPr="00764847">
        <w:rPr>
          <w:rFonts w:ascii="Times New Roman" w:hAnsi="Times New Roman"/>
          <w:lang w:val="fr-BE"/>
        </w:rPr>
        <w:t xml:space="preserve"> permis</w:t>
      </w:r>
      <w:r>
        <w:rPr>
          <w:rFonts w:ascii="Times New Roman" w:hAnsi="Times New Roman"/>
          <w:lang w:val="fr-BE"/>
        </w:rPr>
        <w:t xml:space="preserve"> tant qu’il n’est pas </w:t>
      </w:r>
      <w:r w:rsidR="00BF5134" w:rsidRPr="00764847">
        <w:rPr>
          <w:rFonts w:ascii="Times New Roman" w:hAnsi="Times New Roman"/>
          <w:lang w:val="fr-BE"/>
        </w:rPr>
        <w:t xml:space="preserve">satisfait aux obligations qu’il impose </w:t>
      </w:r>
      <w:r>
        <w:rPr>
          <w:rFonts w:ascii="Times New Roman" w:hAnsi="Times New Roman"/>
          <w:lang w:val="fr-BE"/>
        </w:rPr>
        <w:t>uniquement parce qu’elle est « (f)</w:t>
      </w:r>
      <w:r w:rsidRPr="00764847">
        <w:rPr>
          <w:rFonts w:ascii="Times New Roman" w:hAnsi="Times New Roman"/>
          <w:lang w:val="fr-BE"/>
        </w:rPr>
        <w:t>ondée sur des considérations d’intérêt général</w:t>
      </w:r>
      <w:r>
        <w:rPr>
          <w:rFonts w:ascii="Times New Roman" w:hAnsi="Times New Roman"/>
          <w:lang w:val="fr-BE"/>
        </w:rPr>
        <w:t xml:space="preserve"> </w:t>
      </w:r>
      <w:r w:rsidR="00BF5134" w:rsidRPr="00764847">
        <w:rPr>
          <w:rFonts w:ascii="Times New Roman" w:hAnsi="Times New Roman"/>
          <w:lang w:val="fr-BE"/>
        </w:rPr>
        <w:t>»</w:t>
      </w:r>
      <w:r w:rsidR="00BF5134">
        <w:rPr>
          <w:rFonts w:ascii="Times New Roman" w:eastAsia="Times New Roman"/>
          <w:vertAlign w:val="superscript"/>
        </w:rPr>
        <w:footnoteReference w:id="99"/>
      </w:r>
      <w:r>
        <w:rPr>
          <w:rFonts w:ascii="Times New Roman" w:hAnsi="Times New Roman"/>
          <w:lang w:val="fr-BE"/>
        </w:rPr>
        <w:t>.</w:t>
      </w:r>
    </w:p>
    <w:p w14:paraId="71F487E3" w14:textId="77777777" w:rsidR="00B736A6" w:rsidRDefault="00B736A6" w:rsidP="00BF5134">
      <w:pPr>
        <w:jc w:val="both"/>
        <w:rPr>
          <w:rFonts w:ascii="Times New Roman" w:hAnsi="Times New Roman"/>
          <w:lang w:val="fr-BE"/>
        </w:rPr>
      </w:pPr>
    </w:p>
    <w:p w14:paraId="682EBEA9" w14:textId="77E5E233" w:rsidR="00B01DAB" w:rsidRDefault="00B736A6" w:rsidP="007D61A6">
      <w:pPr>
        <w:jc w:val="both"/>
        <w:rPr>
          <w:rFonts w:ascii="Times New Roman" w:hAnsi="Times New Roman"/>
          <w:b/>
          <w:lang w:val="fr-BE"/>
        </w:rPr>
      </w:pPr>
      <w:r w:rsidRPr="0092332F">
        <w:rPr>
          <w:rFonts w:ascii="Times New Roman" w:hAnsi="Times New Roman"/>
          <w:b/>
          <w:lang w:val="fr-BE"/>
        </w:rPr>
        <w:t xml:space="preserve">Section 3. </w:t>
      </w:r>
      <w:r w:rsidR="007D61A6">
        <w:rPr>
          <w:rFonts w:ascii="Times New Roman" w:hAnsi="Times New Roman"/>
          <w:b/>
          <w:lang w:val="fr-BE"/>
        </w:rPr>
        <w:t>Casuistique et proportionnalité</w:t>
      </w:r>
    </w:p>
    <w:p w14:paraId="0A0DEF1D" w14:textId="77777777" w:rsidR="007D61A6" w:rsidRPr="007D61A6" w:rsidRDefault="007D61A6" w:rsidP="007D61A6">
      <w:pPr>
        <w:jc w:val="both"/>
        <w:rPr>
          <w:rFonts w:ascii="Times New Roman" w:hAnsi="Times New Roman"/>
          <w:b/>
          <w:lang w:val="fr-BE"/>
        </w:rPr>
      </w:pPr>
    </w:p>
    <w:p w14:paraId="0D450487" w14:textId="2D389CC4" w:rsidR="00B736A6" w:rsidRPr="009D6429" w:rsidRDefault="00E67A43" w:rsidP="00B736A6">
      <w:pPr>
        <w:spacing w:after="200"/>
        <w:jc w:val="both"/>
        <w:rPr>
          <w:rFonts w:ascii="Times New Roman" w:eastAsia="Times New Roman"/>
        </w:rPr>
      </w:pPr>
      <w:r>
        <w:rPr>
          <w:rFonts w:ascii="Times New Roman" w:eastAsia="Times New Roman"/>
          <w:b/>
        </w:rPr>
        <w:t>2</w:t>
      </w:r>
      <w:r w:rsidR="003F06AA">
        <w:rPr>
          <w:rFonts w:ascii="Times New Roman" w:eastAsia="Times New Roman"/>
          <w:b/>
        </w:rPr>
        <w:t>6</w:t>
      </w:r>
      <w:r w:rsidR="007D61A6" w:rsidRPr="007D61A6">
        <w:rPr>
          <w:rFonts w:ascii="Times New Roman" w:eastAsia="Times New Roman"/>
          <w:b/>
        </w:rPr>
        <w:t xml:space="preserve">. </w:t>
      </w:r>
      <w:r w:rsidR="007D61A6" w:rsidRPr="007D61A6">
        <w:rPr>
          <w:rFonts w:ascii="Times New Roman" w:eastAsia="Times New Roman"/>
          <w:b/>
        </w:rPr>
        <w:t>–</w:t>
      </w:r>
      <w:r w:rsidR="007D61A6" w:rsidRPr="007D61A6">
        <w:rPr>
          <w:rFonts w:ascii="Times New Roman" w:eastAsia="Times New Roman"/>
          <w:b/>
        </w:rPr>
        <w:t xml:space="preserve"> Une analyse au cas par cas. </w:t>
      </w:r>
      <w:r w:rsidR="00B736A6">
        <w:rPr>
          <w:rFonts w:ascii="Times New Roman" w:eastAsia="Times New Roman"/>
        </w:rPr>
        <w:t>On l</w:t>
      </w:r>
      <w:r w:rsidR="00B736A6">
        <w:rPr>
          <w:rFonts w:ascii="Times New Roman" w:eastAsia="Times New Roman"/>
        </w:rPr>
        <w:t>’</w:t>
      </w:r>
      <w:r w:rsidR="00B736A6">
        <w:rPr>
          <w:rFonts w:ascii="Times New Roman" w:eastAsia="Times New Roman"/>
        </w:rPr>
        <w:t>aura compris, l</w:t>
      </w:r>
      <w:r w:rsidR="00B736A6">
        <w:rPr>
          <w:rFonts w:ascii="Times New Roman" w:eastAsia="Times New Roman"/>
        </w:rPr>
        <w:t>’</w:t>
      </w:r>
      <w:r w:rsidR="00B736A6">
        <w:rPr>
          <w:rFonts w:ascii="Times New Roman" w:eastAsia="Times New Roman"/>
        </w:rPr>
        <w:t>approche sugg</w:t>
      </w:r>
      <w:r w:rsidR="00B736A6">
        <w:rPr>
          <w:rFonts w:ascii="Times New Roman" w:eastAsia="Times New Roman"/>
        </w:rPr>
        <w:t>é</w:t>
      </w:r>
      <w:r w:rsidR="00B736A6">
        <w:rPr>
          <w:rFonts w:ascii="Times New Roman" w:eastAsia="Times New Roman"/>
        </w:rPr>
        <w:t>r</w:t>
      </w:r>
      <w:r w:rsidR="00B736A6">
        <w:rPr>
          <w:rFonts w:ascii="Times New Roman" w:eastAsia="Times New Roman"/>
        </w:rPr>
        <w:t>é</w:t>
      </w:r>
      <w:r w:rsidR="00B736A6">
        <w:rPr>
          <w:rFonts w:ascii="Times New Roman" w:eastAsia="Times New Roman"/>
        </w:rPr>
        <w:t>e n</w:t>
      </w:r>
      <w:r w:rsidR="00B736A6">
        <w:rPr>
          <w:rFonts w:ascii="Times New Roman" w:eastAsia="Times New Roman"/>
        </w:rPr>
        <w:t>’</w:t>
      </w:r>
      <w:r w:rsidR="00B736A6">
        <w:rPr>
          <w:rFonts w:ascii="Times New Roman" w:eastAsia="Times New Roman"/>
        </w:rPr>
        <w:t xml:space="preserve">est pas la plus confortable. Elle demande </w:t>
      </w:r>
      <w:r w:rsidR="00B855DB">
        <w:rPr>
          <w:rFonts w:ascii="Times New Roman" w:eastAsia="Times New Roman"/>
        </w:rPr>
        <w:t>une analyse minutieuse, individualis</w:t>
      </w:r>
      <w:r w:rsidR="00B855DB">
        <w:rPr>
          <w:rFonts w:ascii="Times New Roman" w:eastAsia="Times New Roman"/>
        </w:rPr>
        <w:t>é</w:t>
      </w:r>
      <w:r w:rsidR="00B855DB">
        <w:rPr>
          <w:rFonts w:ascii="Times New Roman" w:eastAsia="Times New Roman"/>
        </w:rPr>
        <w:t>e, des r</w:t>
      </w:r>
      <w:r w:rsidR="00B855DB">
        <w:rPr>
          <w:rFonts w:ascii="Times New Roman" w:eastAsia="Times New Roman"/>
        </w:rPr>
        <w:t>é</w:t>
      </w:r>
      <w:r w:rsidR="00B855DB">
        <w:rPr>
          <w:rFonts w:ascii="Times New Roman" w:eastAsia="Times New Roman"/>
        </w:rPr>
        <w:t>gimes applicables</w:t>
      </w:r>
      <w:r w:rsidR="00B855DB">
        <w:rPr>
          <w:rStyle w:val="Marquenotebasdepage"/>
          <w:rFonts w:ascii="Times New Roman" w:eastAsia="Times New Roman"/>
        </w:rPr>
        <w:footnoteReference w:id="100"/>
      </w:r>
      <w:r w:rsidR="00B855DB">
        <w:rPr>
          <w:rFonts w:ascii="Times New Roman" w:eastAsia="Times New Roman"/>
        </w:rPr>
        <w:t xml:space="preserve">. </w:t>
      </w:r>
      <w:r w:rsidR="00B736A6">
        <w:rPr>
          <w:rFonts w:ascii="Times New Roman" w:hAnsi="Times New Roman"/>
          <w:lang w:val="fr-BE"/>
        </w:rPr>
        <w:t>Récemment, le tribunal de p</w:t>
      </w:r>
      <w:r w:rsidR="00B855DB">
        <w:rPr>
          <w:rFonts w:ascii="Times New Roman" w:hAnsi="Times New Roman"/>
          <w:lang w:val="fr-BE"/>
        </w:rPr>
        <w:t xml:space="preserve">remière instance de Bruxelles a, à juste titre, considéré </w:t>
      </w:r>
      <w:r w:rsidR="00B736A6">
        <w:rPr>
          <w:rFonts w:ascii="Times New Roman" w:hAnsi="Times New Roman"/>
          <w:lang w:val="fr-BE"/>
        </w:rPr>
        <w:t>que « </w:t>
      </w:r>
      <w:r w:rsidR="00B736A6" w:rsidRPr="001B0FC3">
        <w:rPr>
          <w:rFonts w:ascii="Times New Roman" w:hAnsi="Times New Roman"/>
          <w:lang w:val="fr-BE"/>
        </w:rPr>
        <w:t xml:space="preserve">la seule présence d’une obligation dans le Code du logement ne suffit pas à conférer à celle-ci un caractère d’ordre public et son non-respect à une </w:t>
      </w:r>
      <w:r w:rsidR="00B736A6">
        <w:rPr>
          <w:rFonts w:ascii="Times New Roman" w:hAnsi="Times New Roman"/>
          <w:lang w:val="fr-BE"/>
        </w:rPr>
        <w:t>nullité absolue des conventions » et qu’il convenait « </w:t>
      </w:r>
      <w:r w:rsidR="00B736A6" w:rsidRPr="001B0FC3">
        <w:rPr>
          <w:rFonts w:ascii="Times New Roman" w:hAnsi="Times New Roman"/>
          <w:lang w:val="fr-BE"/>
        </w:rPr>
        <w:t>d’examiner, pour chaque norme prise individuellement, si elle revêt un caractère d’ordre public</w:t>
      </w:r>
      <w:r w:rsidR="00B736A6">
        <w:rPr>
          <w:rFonts w:ascii="Times New Roman" w:hAnsi="Times New Roman"/>
          <w:lang w:val="fr-BE"/>
        </w:rPr>
        <w:t> »</w:t>
      </w:r>
      <w:r w:rsidR="00B736A6">
        <w:rPr>
          <w:rStyle w:val="Marquenotebasdepage"/>
          <w:rFonts w:ascii="Times New Roman" w:hAnsi="Times New Roman"/>
          <w:lang w:val="fr-BE"/>
        </w:rPr>
        <w:footnoteReference w:id="101"/>
      </w:r>
      <w:r w:rsidR="00B736A6" w:rsidRPr="001B0FC3">
        <w:rPr>
          <w:rFonts w:ascii="Times New Roman" w:hAnsi="Times New Roman"/>
          <w:lang w:val="fr-BE"/>
        </w:rPr>
        <w:t>.</w:t>
      </w:r>
    </w:p>
    <w:p w14:paraId="6E82D614" w14:textId="4218DA4A" w:rsidR="007D61A6" w:rsidRDefault="00E67A43" w:rsidP="007D61A6">
      <w:pPr>
        <w:spacing w:after="200"/>
        <w:jc w:val="both"/>
        <w:rPr>
          <w:rFonts w:ascii="Times New Roman" w:hAnsi="Times New Roman"/>
          <w:lang w:val="fr-BE"/>
        </w:rPr>
      </w:pPr>
      <w:r>
        <w:rPr>
          <w:b/>
        </w:rPr>
        <w:t>2</w:t>
      </w:r>
      <w:r w:rsidR="003F06AA">
        <w:rPr>
          <w:b/>
        </w:rPr>
        <w:t>7</w:t>
      </w:r>
      <w:r w:rsidR="007D61A6" w:rsidRPr="007D61A6">
        <w:rPr>
          <w:b/>
        </w:rPr>
        <w:t xml:space="preserve">. – Un raisonnement en proportionnalité ? </w:t>
      </w:r>
      <w:r w:rsidR="00BD1891">
        <w:rPr>
          <w:rFonts w:ascii="Times New Roman" w:eastAsia="Times New Roman"/>
        </w:rPr>
        <w:t>D</w:t>
      </w:r>
      <w:r w:rsidR="00B855DB">
        <w:rPr>
          <w:rFonts w:ascii="Times New Roman" w:eastAsia="Times New Roman"/>
        </w:rPr>
        <w:t>ans certaines mati</w:t>
      </w:r>
      <w:r w:rsidR="00B855DB">
        <w:rPr>
          <w:rFonts w:ascii="Times New Roman" w:eastAsia="Times New Roman"/>
        </w:rPr>
        <w:t>è</w:t>
      </w:r>
      <w:r w:rsidR="00B855DB">
        <w:rPr>
          <w:rFonts w:ascii="Times New Roman" w:eastAsia="Times New Roman"/>
        </w:rPr>
        <w:t>res, l</w:t>
      </w:r>
      <w:r w:rsidR="00B855DB">
        <w:rPr>
          <w:rFonts w:ascii="Times New Roman" w:eastAsia="Times New Roman"/>
        </w:rPr>
        <w:t>’</w:t>
      </w:r>
      <w:r w:rsidR="00B855DB">
        <w:rPr>
          <w:rFonts w:ascii="Times New Roman" w:eastAsia="Times New Roman"/>
        </w:rPr>
        <w:t>approche ne doit pas se faire uniquement norme par norme mais</w:t>
      </w:r>
      <w:r w:rsidR="007D61A6">
        <w:rPr>
          <w:rFonts w:ascii="Times New Roman" w:eastAsia="Times New Roman"/>
        </w:rPr>
        <w:t>, comme le sugg</w:t>
      </w:r>
      <w:r w:rsidR="007D61A6">
        <w:rPr>
          <w:rFonts w:ascii="Times New Roman" w:eastAsia="Times New Roman"/>
        </w:rPr>
        <w:t>é</w:t>
      </w:r>
      <w:r w:rsidR="007D61A6">
        <w:rPr>
          <w:rFonts w:ascii="Times New Roman" w:eastAsia="Times New Roman"/>
        </w:rPr>
        <w:t>rait d</w:t>
      </w:r>
      <w:r w:rsidR="007D61A6">
        <w:rPr>
          <w:rFonts w:ascii="Times New Roman" w:eastAsia="Times New Roman"/>
        </w:rPr>
        <w:t>é</w:t>
      </w:r>
      <w:r w:rsidR="007D61A6">
        <w:rPr>
          <w:rFonts w:ascii="Times New Roman" w:eastAsia="Times New Roman"/>
        </w:rPr>
        <w:t>j</w:t>
      </w:r>
      <w:r w:rsidR="007D61A6">
        <w:rPr>
          <w:rFonts w:ascii="Times New Roman" w:eastAsia="Times New Roman"/>
        </w:rPr>
        <w:t>à</w:t>
      </w:r>
      <w:r w:rsidR="007D61A6">
        <w:rPr>
          <w:rFonts w:ascii="Times New Roman" w:eastAsia="Times New Roman"/>
        </w:rPr>
        <w:t xml:space="preserve"> Japiot, quoique de fa</w:t>
      </w:r>
      <w:r w:rsidR="007D61A6">
        <w:rPr>
          <w:rFonts w:ascii="Times New Roman" w:eastAsia="Times New Roman"/>
        </w:rPr>
        <w:t>ç</w:t>
      </w:r>
      <w:r w:rsidR="007D61A6">
        <w:rPr>
          <w:rFonts w:ascii="Times New Roman" w:eastAsia="Times New Roman"/>
        </w:rPr>
        <w:t>on plus abstraite,</w:t>
      </w:r>
      <w:r w:rsidR="00B855DB">
        <w:rPr>
          <w:rFonts w:ascii="Times New Roman" w:eastAsia="Times New Roman"/>
        </w:rPr>
        <w:t xml:space="preserve"> en fonction de chaque situation. Le domaine des normes de logement en donne une excellente illustration. </w:t>
      </w:r>
      <w:r w:rsidR="007D61A6">
        <w:rPr>
          <w:rFonts w:ascii="Times New Roman" w:eastAsia="Times New Roman"/>
        </w:rPr>
        <w:t>Les codes wallon et bruxellois du logement pr</w:t>
      </w:r>
      <w:r w:rsidR="007D61A6">
        <w:rPr>
          <w:rFonts w:ascii="Times New Roman" w:eastAsia="Times New Roman"/>
        </w:rPr>
        <w:t>é</w:t>
      </w:r>
      <w:r w:rsidR="007D61A6">
        <w:rPr>
          <w:rFonts w:ascii="Times New Roman" w:eastAsia="Times New Roman"/>
        </w:rPr>
        <w:t>voient ainsi de consid</w:t>
      </w:r>
      <w:r w:rsidR="007D61A6">
        <w:rPr>
          <w:rFonts w:ascii="Times New Roman" w:eastAsia="Times New Roman"/>
        </w:rPr>
        <w:t>é</w:t>
      </w:r>
      <w:r w:rsidR="007D61A6">
        <w:rPr>
          <w:rFonts w:ascii="Times New Roman" w:eastAsia="Times New Roman"/>
        </w:rPr>
        <w:t>rer comme salubres les logements qui ne sont affect</w:t>
      </w:r>
      <w:r w:rsidR="007D61A6">
        <w:rPr>
          <w:rFonts w:ascii="Times New Roman" w:eastAsia="Times New Roman"/>
        </w:rPr>
        <w:t>é</w:t>
      </w:r>
      <w:r w:rsidR="007D61A6">
        <w:rPr>
          <w:rFonts w:ascii="Times New Roman" w:eastAsia="Times New Roman"/>
        </w:rPr>
        <w:t>s que de d</w:t>
      </w:r>
      <w:r w:rsidR="007D61A6">
        <w:rPr>
          <w:rFonts w:ascii="Times New Roman" w:eastAsia="Times New Roman"/>
        </w:rPr>
        <w:t>é</w:t>
      </w:r>
      <w:r w:rsidR="007D61A6">
        <w:rPr>
          <w:rFonts w:ascii="Times New Roman" w:eastAsia="Times New Roman"/>
        </w:rPr>
        <w:t>fauts de minime importance et la l</w:t>
      </w:r>
      <w:r w:rsidR="007D61A6">
        <w:rPr>
          <w:rFonts w:ascii="Times New Roman" w:eastAsia="Times New Roman"/>
        </w:rPr>
        <w:t>é</w:t>
      </w:r>
      <w:r w:rsidR="007D61A6">
        <w:rPr>
          <w:rFonts w:ascii="Times New Roman" w:eastAsia="Times New Roman"/>
        </w:rPr>
        <w:t xml:space="preserve">gislation flamande </w:t>
      </w:r>
      <w:r w:rsidR="00B845D6" w:rsidRPr="00B53B20">
        <w:rPr>
          <w:rFonts w:ascii="Times New Roman" w:hAnsi="Times New Roman"/>
          <w:lang w:val="fr-BE"/>
        </w:rPr>
        <w:t>a prévu un système de « permis à points » aux termes duquel les différents types de vices se voient octroyer un certain nombre de points, la délivrance d’une attestation de conformité requérant, parmi d’autres conditions, l’obtention d’un score final inférieur à 15 points</w:t>
      </w:r>
      <w:r w:rsidR="007D61A6">
        <w:rPr>
          <w:rStyle w:val="Marquenotebasdepage"/>
          <w:rFonts w:ascii="Times New Roman" w:hAnsi="Times New Roman"/>
          <w:lang w:val="fr-BE"/>
        </w:rPr>
        <w:footnoteReference w:id="102"/>
      </w:r>
      <w:r w:rsidR="00B845D6" w:rsidRPr="00B53B20">
        <w:rPr>
          <w:rFonts w:ascii="Times New Roman" w:hAnsi="Times New Roman"/>
          <w:lang w:val="fr-BE"/>
        </w:rPr>
        <w:t xml:space="preserve">. </w:t>
      </w:r>
    </w:p>
    <w:p w14:paraId="2EC72B14" w14:textId="35E8A5A5" w:rsidR="00B97A17" w:rsidRPr="002658C8" w:rsidRDefault="00B845D6" w:rsidP="00B97A17">
      <w:pPr>
        <w:spacing w:after="200"/>
        <w:jc w:val="both"/>
      </w:pPr>
      <w:r>
        <w:t xml:space="preserve">Ce que montrent </w:t>
      </w:r>
      <w:r w:rsidR="007D61A6">
        <w:t xml:space="preserve">ces mécanismes, </w:t>
      </w:r>
      <w:r>
        <w:t xml:space="preserve">c’est qu’un </w:t>
      </w:r>
      <w:r w:rsidRPr="00B855DB">
        <w:t>degré minimum de gravité</w:t>
      </w:r>
      <w:r>
        <w:t xml:space="preserve"> est requis pour qu’un logement soit interdit à la location. Il n’est pas déraisonnable de considérer qu’en dessous de ce seuil, l’ordre public n’est tout simplement pas en jeu</w:t>
      </w:r>
      <w:r w:rsidR="00B97A17">
        <w:rPr>
          <w:rStyle w:val="Marquenotebasdepage"/>
        </w:rPr>
        <w:footnoteReference w:id="103"/>
      </w:r>
      <w:r>
        <w:t xml:space="preserve">. Cette approche « de minimis » de la notion d’ordre public laisse entrevoir un raisonnement qui se décline en </w:t>
      </w:r>
      <w:r>
        <w:lastRenderedPageBreak/>
        <w:t>termes de proportionnalité</w:t>
      </w:r>
      <w:r w:rsidR="007D61A6">
        <w:t xml:space="preserve"> </w:t>
      </w:r>
      <w:r w:rsidR="00647CE5">
        <w:t>et</w:t>
      </w:r>
      <w:r w:rsidR="007D61A6">
        <w:t xml:space="preserve"> mériterait d’être approfondi</w:t>
      </w:r>
      <w:r w:rsidR="00647CE5">
        <w:t xml:space="preserve">, voire exporté. Le débat relatif à l’appartenance à l’ordre public des normes prévoyant, lors de la conclusion d’une vente ou d’un contrat de bail, la remise de documents attestant </w:t>
      </w:r>
      <w:r w:rsidR="003D4652">
        <w:t xml:space="preserve">de la conformité d’un bien à des normes </w:t>
      </w:r>
      <w:r w:rsidR="002658C8">
        <w:t>environnementales (certificat</w:t>
      </w:r>
      <w:bookmarkStart w:id="0" w:name="_GoBack"/>
      <w:bookmarkEnd w:id="0"/>
      <w:r w:rsidR="008003EC">
        <w:t xml:space="preserve"> PEB, attestation du sol)</w:t>
      </w:r>
      <w:r w:rsidR="003D4652">
        <w:t xml:space="preserve"> ne doit-elle pas être appréhendée sous cet angle ? Le simple défaut de remise d’un document</w:t>
      </w:r>
      <w:r w:rsidR="006175AA">
        <w:t xml:space="preserve"> ne pourrait entraîner qu’une nullité relative (sauf régime particulier) mais une violation suffisamment grave d’u</w:t>
      </w:r>
      <w:r w:rsidR="008003EC">
        <w:t>ne norme environnementale par l’état du</w:t>
      </w:r>
      <w:r w:rsidR="006175AA">
        <w:t xml:space="preserve"> bien lors de la conclusion du contrat pourrait </w:t>
      </w:r>
      <w:r w:rsidR="008003EC">
        <w:t>être considérée comme comportant</w:t>
      </w:r>
      <w:r w:rsidR="006175AA">
        <w:t xml:space="preserve"> une atteinte à l’ordre public</w:t>
      </w:r>
      <w:r w:rsidR="008003EC">
        <w:t xml:space="preserve"> susceptible d’entraîner la nullité du contrat.</w:t>
      </w:r>
    </w:p>
    <w:p w14:paraId="01CAEEF3" w14:textId="23C2B6A5" w:rsidR="005E2D80" w:rsidRPr="007E55C8" w:rsidRDefault="001F3463" w:rsidP="001F3463">
      <w:pPr>
        <w:jc w:val="both"/>
        <w:rPr>
          <w:b/>
        </w:rPr>
      </w:pPr>
      <w:r w:rsidRPr="007E55C8">
        <w:rPr>
          <w:b/>
        </w:rPr>
        <w:t xml:space="preserve">Chapitre 3. </w:t>
      </w:r>
      <w:r w:rsidR="00303C58" w:rsidRPr="007E55C8">
        <w:rPr>
          <w:b/>
        </w:rPr>
        <w:t xml:space="preserve">L’office du juge </w:t>
      </w:r>
      <w:r w:rsidR="006175AA">
        <w:rPr>
          <w:b/>
        </w:rPr>
        <w:t>et la nullité virtuelle</w:t>
      </w:r>
    </w:p>
    <w:p w14:paraId="77D6E2C1" w14:textId="77777777" w:rsidR="00303C58" w:rsidRDefault="00303C58" w:rsidP="005F4B7A">
      <w:pPr>
        <w:jc w:val="both"/>
      </w:pPr>
    </w:p>
    <w:p w14:paraId="71E14349" w14:textId="5CB4A739" w:rsidR="00415D20" w:rsidRDefault="00E67A43" w:rsidP="00F26D2D">
      <w:pPr>
        <w:jc w:val="both"/>
        <w:rPr>
          <w:rFonts w:ascii="Times New Roman" w:hAnsi="Times New Roman"/>
          <w:lang w:val="fr-BE"/>
        </w:rPr>
      </w:pPr>
      <w:r w:rsidRPr="00E67A43">
        <w:rPr>
          <w:rFonts w:ascii="Times New Roman" w:hAnsi="Times New Roman"/>
          <w:b/>
          <w:lang w:val="fr-BE"/>
        </w:rPr>
        <w:t>2</w:t>
      </w:r>
      <w:r w:rsidR="003F06AA">
        <w:rPr>
          <w:rFonts w:ascii="Times New Roman" w:hAnsi="Times New Roman"/>
          <w:b/>
          <w:lang w:val="fr-BE"/>
        </w:rPr>
        <w:t>8</w:t>
      </w:r>
      <w:r w:rsidR="00445CB4" w:rsidRPr="00E67A43">
        <w:rPr>
          <w:rFonts w:ascii="Times New Roman" w:hAnsi="Times New Roman"/>
          <w:b/>
          <w:lang w:val="fr-BE"/>
        </w:rPr>
        <w:t>. – Une fausse évidence.</w:t>
      </w:r>
      <w:r w:rsidR="00445CB4">
        <w:rPr>
          <w:rFonts w:ascii="Times New Roman" w:hAnsi="Times New Roman"/>
          <w:lang w:val="fr-BE"/>
        </w:rPr>
        <w:t xml:space="preserve"> </w:t>
      </w:r>
      <w:r w:rsidR="00B77D22">
        <w:rPr>
          <w:rFonts w:ascii="Times New Roman" w:hAnsi="Times New Roman"/>
          <w:lang w:val="fr-BE"/>
        </w:rPr>
        <w:t xml:space="preserve">Selon </w:t>
      </w:r>
      <w:r w:rsidR="00F26D2D">
        <w:rPr>
          <w:rFonts w:ascii="Times New Roman" w:hAnsi="Times New Roman"/>
          <w:lang w:val="fr-BE"/>
        </w:rPr>
        <w:t>P. Van Ommeslaghe</w:t>
      </w:r>
      <w:r w:rsidR="00B77D22">
        <w:rPr>
          <w:rFonts w:ascii="Times New Roman" w:hAnsi="Times New Roman"/>
          <w:lang w:val="fr-BE"/>
        </w:rPr>
        <w:t>,</w:t>
      </w:r>
      <w:r w:rsidR="00F26D2D">
        <w:rPr>
          <w:rFonts w:ascii="Times New Roman" w:hAnsi="Times New Roman"/>
          <w:lang w:val="fr-BE"/>
        </w:rPr>
        <w:t xml:space="preserve"> la nullité absolue « doit être soulevée même d’office par le juge »</w:t>
      </w:r>
      <w:r w:rsidR="00F26D2D" w:rsidRPr="001B0FC3">
        <w:rPr>
          <w:rStyle w:val="Marquenotebasdepage"/>
          <w:rFonts w:ascii="Times New Roman" w:hAnsi="Times New Roman"/>
          <w:lang w:val="fr-BE"/>
        </w:rPr>
        <w:footnoteReference w:id="104"/>
      </w:r>
      <w:r w:rsidR="00B77D22">
        <w:rPr>
          <w:rFonts w:ascii="Times New Roman" w:hAnsi="Times New Roman"/>
          <w:lang w:val="fr-BE"/>
        </w:rPr>
        <w:t xml:space="preserve"> et </w:t>
      </w:r>
      <w:r w:rsidR="00F26D2D">
        <w:rPr>
          <w:rFonts w:ascii="Times New Roman" w:hAnsi="Times New Roman"/>
          <w:lang w:val="fr-BE"/>
        </w:rPr>
        <w:t xml:space="preserve">P. Wéry </w:t>
      </w:r>
      <w:r w:rsidR="00B77D22">
        <w:rPr>
          <w:rFonts w:ascii="Times New Roman" w:hAnsi="Times New Roman"/>
          <w:lang w:val="fr-BE"/>
        </w:rPr>
        <w:t>confirme</w:t>
      </w:r>
      <w:r w:rsidR="00F26D2D">
        <w:rPr>
          <w:rFonts w:ascii="Times New Roman" w:hAnsi="Times New Roman"/>
          <w:lang w:val="fr-BE"/>
        </w:rPr>
        <w:t>, pour sa part, que, « l</w:t>
      </w:r>
      <w:r w:rsidR="00F26D2D" w:rsidRPr="001B0FC3">
        <w:rPr>
          <w:rFonts w:ascii="Times New Roman" w:hAnsi="Times New Roman"/>
          <w:lang w:val="fr-BE"/>
        </w:rPr>
        <w:t xml:space="preserve">orsque la convention blesse l’ordre public ou les bonnes mœurs, le tribunal a le pouvoir, et même le devoir, d’annuler, </w:t>
      </w:r>
      <w:r w:rsidR="00F26D2D" w:rsidRPr="005F750A">
        <w:rPr>
          <w:rFonts w:ascii="Times New Roman" w:hAnsi="Times New Roman"/>
          <w:i/>
          <w:lang w:val="fr-BE"/>
        </w:rPr>
        <w:t>ex officio</w:t>
      </w:r>
      <w:r w:rsidR="00F26D2D" w:rsidRPr="001B0FC3">
        <w:rPr>
          <w:rFonts w:ascii="Times New Roman" w:hAnsi="Times New Roman"/>
          <w:lang w:val="fr-BE"/>
        </w:rPr>
        <w:t>, la convention, quand bien même aucune des parties ne contesterait sa validité »</w:t>
      </w:r>
      <w:r w:rsidR="00F26D2D" w:rsidRPr="001B0FC3">
        <w:rPr>
          <w:rStyle w:val="Marquenotebasdepage"/>
          <w:rFonts w:ascii="Times New Roman" w:hAnsi="Times New Roman"/>
          <w:lang w:val="fr-BE"/>
        </w:rPr>
        <w:footnoteReference w:id="105"/>
      </w:r>
      <w:r w:rsidR="00F26D2D">
        <w:rPr>
          <w:rFonts w:ascii="Times New Roman" w:hAnsi="Times New Roman"/>
          <w:lang w:val="fr-BE"/>
        </w:rPr>
        <w:t xml:space="preserve">. </w:t>
      </w:r>
    </w:p>
    <w:p w14:paraId="344B4757" w14:textId="77777777" w:rsidR="00415D20" w:rsidRDefault="00415D20" w:rsidP="00F26D2D">
      <w:pPr>
        <w:jc w:val="both"/>
        <w:rPr>
          <w:rFonts w:ascii="Times New Roman" w:hAnsi="Times New Roman"/>
          <w:lang w:val="fr-BE"/>
        </w:rPr>
      </w:pPr>
    </w:p>
    <w:p w14:paraId="496FC5B9" w14:textId="12004E72" w:rsidR="00415D20" w:rsidRDefault="00B77D22" w:rsidP="00F26D2D">
      <w:pPr>
        <w:jc w:val="both"/>
        <w:rPr>
          <w:rFonts w:ascii="Times New Roman" w:hAnsi="Times New Roman"/>
          <w:lang w:val="fr-BE"/>
        </w:rPr>
      </w:pPr>
      <w:r>
        <w:rPr>
          <w:rFonts w:ascii="Times New Roman" w:hAnsi="Times New Roman"/>
          <w:lang w:val="fr-BE"/>
        </w:rPr>
        <w:t xml:space="preserve">Une telle obligation, dans le chef du juge, paraît largement acceptée </w:t>
      </w:r>
      <w:r w:rsidR="008003EC">
        <w:rPr>
          <w:rFonts w:ascii="Times New Roman" w:hAnsi="Times New Roman"/>
          <w:lang w:val="fr-BE"/>
        </w:rPr>
        <w:t>par la doctrine civiliste actuelle</w:t>
      </w:r>
      <w:r>
        <w:rPr>
          <w:rStyle w:val="Marquenotebasdepage"/>
          <w:rFonts w:ascii="Times New Roman" w:hAnsi="Times New Roman"/>
          <w:lang w:val="fr-BE"/>
        </w:rPr>
        <w:footnoteReference w:id="106"/>
      </w:r>
      <w:r w:rsidR="008003EC">
        <w:rPr>
          <w:rFonts w:ascii="Times New Roman" w:hAnsi="Times New Roman"/>
          <w:lang w:val="fr-BE"/>
        </w:rPr>
        <w:t>, M. Dupont estimant</w:t>
      </w:r>
      <w:r w:rsidR="00415D20">
        <w:rPr>
          <w:rFonts w:ascii="Times New Roman" w:hAnsi="Times New Roman"/>
          <w:lang w:val="fr-BE"/>
        </w:rPr>
        <w:t xml:space="preserve"> qu’elle</w:t>
      </w:r>
      <w:r w:rsidR="00F26D2D">
        <w:rPr>
          <w:rStyle w:val="Marquenotebasdepage"/>
          <w:rFonts w:ascii="Times New Roman" w:hAnsi="Times New Roman"/>
          <w:lang w:val="fr-BE"/>
        </w:rPr>
        <w:t xml:space="preserve"> </w:t>
      </w:r>
      <w:r w:rsidR="00F26D2D">
        <w:rPr>
          <w:rFonts w:ascii="Times New Roman" w:hAnsi="Times New Roman"/>
          <w:lang w:val="fr-BE"/>
        </w:rPr>
        <w:t>est « de doctrine et de jurisprudence constante »</w:t>
      </w:r>
      <w:r w:rsidR="00F26D2D">
        <w:rPr>
          <w:rStyle w:val="Marquenotebasdepage"/>
          <w:rFonts w:ascii="Times New Roman" w:hAnsi="Times New Roman"/>
          <w:lang w:val="fr-BE"/>
        </w:rPr>
        <w:footnoteReference w:id="107"/>
      </w:r>
      <w:r w:rsidR="00F26D2D">
        <w:rPr>
          <w:rFonts w:ascii="Times New Roman" w:hAnsi="Times New Roman"/>
          <w:lang w:val="fr-BE"/>
        </w:rPr>
        <w:t xml:space="preserve">. Si l’unique référence jurisprudentielle </w:t>
      </w:r>
      <w:r w:rsidR="00415D20">
        <w:rPr>
          <w:rFonts w:ascii="Times New Roman" w:hAnsi="Times New Roman"/>
          <w:lang w:val="fr-BE"/>
        </w:rPr>
        <w:t xml:space="preserve">citée par cet auteur </w:t>
      </w:r>
      <w:r w:rsidR="00F26D2D">
        <w:rPr>
          <w:rFonts w:ascii="Times New Roman" w:hAnsi="Times New Roman"/>
          <w:lang w:val="fr-BE"/>
        </w:rPr>
        <w:t>est, certes, exacte</w:t>
      </w:r>
      <w:r w:rsidR="00F26D2D">
        <w:rPr>
          <w:rStyle w:val="Marquenotebasdepage"/>
          <w:rFonts w:ascii="Times New Roman" w:hAnsi="Times New Roman"/>
          <w:lang w:val="fr-BE"/>
        </w:rPr>
        <w:footnoteReference w:id="108"/>
      </w:r>
      <w:r w:rsidR="00F26D2D">
        <w:rPr>
          <w:rFonts w:ascii="Times New Roman" w:hAnsi="Times New Roman"/>
          <w:lang w:val="fr-BE"/>
        </w:rPr>
        <w:t xml:space="preserve">, </w:t>
      </w:r>
      <w:r w:rsidR="00415D20">
        <w:rPr>
          <w:rFonts w:ascii="Times New Roman" w:hAnsi="Times New Roman"/>
          <w:lang w:val="fr-BE"/>
        </w:rPr>
        <w:t>s</w:t>
      </w:r>
      <w:r w:rsidR="00F26D2D">
        <w:rPr>
          <w:rFonts w:ascii="Times New Roman" w:hAnsi="Times New Roman"/>
          <w:lang w:val="fr-BE"/>
        </w:rPr>
        <w:t>es trois références doctrinales nous paraissent,</w:t>
      </w:r>
      <w:r w:rsidR="00F26D2D" w:rsidRPr="000009B9">
        <w:rPr>
          <w:rFonts w:ascii="Times New Roman" w:hAnsi="Times New Roman"/>
          <w:lang w:val="fr-BE"/>
        </w:rPr>
        <w:t xml:space="preserve"> </w:t>
      </w:r>
      <w:r w:rsidR="00F26D2D">
        <w:rPr>
          <w:rFonts w:ascii="Times New Roman" w:hAnsi="Times New Roman"/>
          <w:lang w:val="fr-BE"/>
        </w:rPr>
        <w:t xml:space="preserve">en revanche, quelque peu détournées. Sur la question de la nullité absolue, De Page écrivait seulement que « le juge </w:t>
      </w:r>
      <w:r w:rsidR="00F26D2D" w:rsidRPr="00587200">
        <w:rPr>
          <w:rFonts w:ascii="Times New Roman" w:hAnsi="Times New Roman"/>
          <w:i/>
          <w:lang w:val="fr-BE"/>
        </w:rPr>
        <w:t>peut</w:t>
      </w:r>
      <w:r w:rsidR="00F26D2D">
        <w:rPr>
          <w:rFonts w:ascii="Times New Roman" w:hAnsi="Times New Roman"/>
          <w:lang w:val="fr-BE"/>
        </w:rPr>
        <w:t xml:space="preserve"> la prononcer même d’</w:t>
      </w:r>
      <w:r w:rsidR="00F26D2D" w:rsidRPr="00587200">
        <w:rPr>
          <w:rFonts w:ascii="Times New Roman" w:hAnsi="Times New Roman"/>
          <w:i/>
          <w:lang w:val="fr-BE"/>
        </w:rPr>
        <w:t>office</w:t>
      </w:r>
      <w:r w:rsidR="00F26D2D">
        <w:rPr>
          <w:rFonts w:ascii="Times New Roman" w:hAnsi="Times New Roman"/>
          <w:lang w:val="fr-BE"/>
        </w:rPr>
        <w:t> »</w:t>
      </w:r>
      <w:r w:rsidR="00F26D2D" w:rsidRPr="00587200">
        <w:rPr>
          <w:rStyle w:val="Marquenotebasdepage"/>
          <w:rFonts w:ascii="Times New Roman" w:hAnsi="Times New Roman"/>
          <w:lang w:val="fr-BE"/>
        </w:rPr>
        <w:t xml:space="preserve"> </w:t>
      </w:r>
      <w:r w:rsidR="00F26D2D" w:rsidRPr="001B0FC3">
        <w:rPr>
          <w:rStyle w:val="Marquenotebasdepage"/>
          <w:rFonts w:ascii="Times New Roman" w:hAnsi="Times New Roman"/>
          <w:lang w:val="fr-BE"/>
        </w:rPr>
        <w:footnoteReference w:id="109"/>
      </w:r>
      <w:r w:rsidR="00F26D2D">
        <w:rPr>
          <w:rFonts w:ascii="Times New Roman" w:hAnsi="Times New Roman"/>
          <w:lang w:val="fr-BE"/>
        </w:rPr>
        <w:t>, tout comme Cl. Renard et E. Vieuxjean</w:t>
      </w:r>
      <w:r w:rsidR="00F26D2D" w:rsidRPr="001B0FC3">
        <w:rPr>
          <w:rStyle w:val="Marquenotebasdepage"/>
          <w:rFonts w:ascii="Times New Roman" w:hAnsi="Times New Roman"/>
          <w:lang w:val="fr-BE"/>
        </w:rPr>
        <w:footnoteReference w:id="110"/>
      </w:r>
      <w:r w:rsidR="00F26D2D">
        <w:rPr>
          <w:rFonts w:ascii="Times New Roman" w:hAnsi="Times New Roman"/>
          <w:lang w:val="fr-BE"/>
        </w:rPr>
        <w:t xml:space="preserve"> ainsi que V. Bastiaen et G. Thoreau</w:t>
      </w:r>
      <w:r w:rsidR="00F26D2D" w:rsidRPr="001B0FC3">
        <w:rPr>
          <w:rStyle w:val="Marquenotebasdepage"/>
          <w:rFonts w:ascii="Times New Roman" w:hAnsi="Times New Roman"/>
          <w:lang w:val="fr-BE"/>
        </w:rPr>
        <w:footnoteReference w:id="111"/>
      </w:r>
      <w:r w:rsidR="00F26D2D">
        <w:rPr>
          <w:rFonts w:ascii="Times New Roman" w:hAnsi="Times New Roman"/>
          <w:lang w:val="fr-BE"/>
        </w:rPr>
        <w:t>. Or, il existe</w:t>
      </w:r>
      <w:r w:rsidR="00415D20">
        <w:rPr>
          <w:rFonts w:ascii="Times New Roman" w:hAnsi="Times New Roman"/>
          <w:lang w:val="fr-BE"/>
        </w:rPr>
        <w:t>, pour un juge,</w:t>
      </w:r>
      <w:r w:rsidR="00F26D2D">
        <w:rPr>
          <w:rFonts w:ascii="Times New Roman" w:hAnsi="Times New Roman"/>
          <w:lang w:val="fr-BE"/>
        </w:rPr>
        <w:t xml:space="preserve"> un monde de différence entre un pouvoir et un devoir. </w:t>
      </w:r>
    </w:p>
    <w:p w14:paraId="2A010D4E" w14:textId="77777777" w:rsidR="00415D20" w:rsidRDefault="00415D20" w:rsidP="00F26D2D">
      <w:pPr>
        <w:jc w:val="both"/>
        <w:rPr>
          <w:rFonts w:ascii="Times New Roman" w:hAnsi="Times New Roman"/>
          <w:lang w:val="fr-BE"/>
        </w:rPr>
      </w:pPr>
    </w:p>
    <w:p w14:paraId="22CF021D" w14:textId="6E23C2CA" w:rsidR="00D36AA5" w:rsidRPr="006175AA" w:rsidRDefault="00415D20" w:rsidP="00D36AA5">
      <w:pPr>
        <w:pStyle w:val="Notedebasdepage"/>
        <w:jc w:val="both"/>
        <w:rPr>
          <w:sz w:val="20"/>
          <w:szCs w:val="20"/>
          <w:lang w:val="nl-NL"/>
        </w:rPr>
      </w:pPr>
      <w:r>
        <w:rPr>
          <w:rFonts w:ascii="Times New Roman" w:hAnsi="Times New Roman"/>
          <w:lang w:val="fr-BE"/>
        </w:rPr>
        <w:t>Clairement, l</w:t>
      </w:r>
      <w:r w:rsidR="00F26D2D">
        <w:rPr>
          <w:rFonts w:ascii="Times New Roman" w:hAnsi="Times New Roman"/>
          <w:lang w:val="fr-BE"/>
        </w:rPr>
        <w:t>a thèse de l’obligation dans le chef du juge n’a pas toujours été présentée avec autant d’évidence.</w:t>
      </w:r>
      <w:r>
        <w:rPr>
          <w:rFonts w:ascii="Times New Roman" w:hAnsi="Times New Roman"/>
          <w:lang w:val="fr-BE"/>
        </w:rPr>
        <w:t xml:space="preserve"> Près d’un siècle avant la thèse de Japiot, </w:t>
      </w:r>
      <w:r w:rsidRPr="00415D20">
        <w:rPr>
          <w:rFonts w:ascii="Times New Roman" w:hAnsi="Times New Roman"/>
          <w:lang w:val="fr-BE"/>
        </w:rPr>
        <w:t xml:space="preserve">J.-B. </w:t>
      </w:r>
      <w:r>
        <w:rPr>
          <w:rFonts w:ascii="Times New Roman" w:hAnsi="Times New Roman"/>
          <w:lang w:val="fr-BE"/>
        </w:rPr>
        <w:t>Perrin écrivait déjà, dans son</w:t>
      </w:r>
      <w:r w:rsidRPr="00415D20">
        <w:rPr>
          <w:rFonts w:ascii="Times New Roman" w:hAnsi="Times New Roman"/>
          <w:lang w:val="fr-BE"/>
        </w:rPr>
        <w:t xml:space="preserve"> </w:t>
      </w:r>
      <w:r w:rsidRPr="00415D20">
        <w:rPr>
          <w:rFonts w:ascii="Times New Roman" w:hAnsi="Times New Roman"/>
          <w:i/>
          <w:lang w:val="fr-BE"/>
        </w:rPr>
        <w:t>Traité des nullités de droit, en matière civile</w:t>
      </w:r>
      <w:r>
        <w:rPr>
          <w:rFonts w:ascii="Times New Roman" w:hAnsi="Times New Roman"/>
          <w:i/>
          <w:lang w:val="fr-BE"/>
        </w:rPr>
        <w:t xml:space="preserve"> </w:t>
      </w:r>
      <w:r w:rsidR="00BD1891">
        <w:rPr>
          <w:rFonts w:ascii="Times New Roman" w:hAnsi="Times New Roman"/>
          <w:lang w:val="fr-BE"/>
        </w:rPr>
        <w:t>publié en 1816 q</w:t>
      </w:r>
      <w:r w:rsidRPr="00415D20">
        <w:rPr>
          <w:rFonts w:ascii="Times New Roman" w:hAnsi="Times New Roman"/>
          <w:lang w:val="fr-BE"/>
        </w:rPr>
        <w:t>ue</w:t>
      </w:r>
      <w:r>
        <w:rPr>
          <w:rFonts w:ascii="Times New Roman" w:hAnsi="Times New Roman"/>
          <w:lang w:val="fr-BE"/>
        </w:rPr>
        <w:t xml:space="preserve"> la nullité absolue (alors nommée « de droit public »</w:t>
      </w:r>
      <w:r w:rsidR="00BD1891">
        <w:rPr>
          <w:rFonts w:ascii="Times New Roman" w:hAnsi="Times New Roman"/>
          <w:lang w:val="fr-BE"/>
        </w:rPr>
        <w:t>)</w:t>
      </w:r>
      <w:r>
        <w:rPr>
          <w:rFonts w:ascii="Times New Roman" w:hAnsi="Times New Roman"/>
          <w:lang w:val="fr-BE"/>
        </w:rPr>
        <w:t xml:space="preserve"> était </w:t>
      </w:r>
      <w:r>
        <w:rPr>
          <w:rFonts w:ascii="Times New Roman" w:hAnsi="Times New Roman"/>
        </w:rPr>
        <w:t>« </w:t>
      </w:r>
      <w:r w:rsidR="00F26D2D" w:rsidRPr="00B929D6">
        <w:rPr>
          <w:rFonts w:ascii="Times New Roman" w:hAnsi="Times New Roman"/>
        </w:rPr>
        <w:t>proposable non-seulement</w:t>
      </w:r>
      <w:r w:rsidR="00BD1891">
        <w:rPr>
          <w:rFonts w:ascii="Times New Roman" w:hAnsi="Times New Roman"/>
        </w:rPr>
        <w:t xml:space="preserve"> par toutes parties intéressées</w:t>
      </w:r>
      <w:r w:rsidR="00F26D2D" w:rsidRPr="00B929D6">
        <w:rPr>
          <w:rFonts w:ascii="Times New Roman" w:hAnsi="Times New Roman"/>
        </w:rPr>
        <w:t xml:space="preserve">, </w:t>
      </w:r>
      <w:r w:rsidR="00F26D2D" w:rsidRPr="00B929D6">
        <w:rPr>
          <w:rFonts w:ascii="Times New Roman" w:hAnsi="Times New Roman"/>
        </w:rPr>
        <w:lastRenderedPageBreak/>
        <w:t xml:space="preserve">mais encore par le juge qui </w:t>
      </w:r>
      <w:r>
        <w:rPr>
          <w:rFonts w:ascii="Times New Roman" w:hAnsi="Times New Roman"/>
        </w:rPr>
        <w:t>comme gardien de l'ordre social</w:t>
      </w:r>
      <w:r w:rsidR="00F26D2D" w:rsidRPr="00B929D6">
        <w:rPr>
          <w:rFonts w:ascii="Times New Roman" w:hAnsi="Times New Roman"/>
        </w:rPr>
        <w:t xml:space="preserve">, </w:t>
      </w:r>
      <w:r w:rsidR="00F26D2D" w:rsidRPr="00415D20">
        <w:rPr>
          <w:rFonts w:ascii="Times New Roman" w:hAnsi="Times New Roman"/>
          <w:i/>
        </w:rPr>
        <w:t>peut</w:t>
      </w:r>
      <w:r w:rsidR="00F26D2D" w:rsidRPr="00B929D6">
        <w:rPr>
          <w:rFonts w:ascii="Times New Roman" w:hAnsi="Times New Roman"/>
        </w:rPr>
        <w:t xml:space="preserve"> la proposer malgré elles</w:t>
      </w:r>
      <w:r>
        <w:rPr>
          <w:rFonts w:ascii="Times New Roman" w:hAnsi="Times New Roman"/>
        </w:rPr>
        <w:t> »</w:t>
      </w:r>
      <w:r w:rsidR="00F26D2D">
        <w:rPr>
          <w:rStyle w:val="Marquenotebasdepage"/>
          <w:rFonts w:ascii="Times New Roman" w:hAnsi="Times New Roman"/>
        </w:rPr>
        <w:footnoteReference w:id="112"/>
      </w:r>
      <w:r>
        <w:rPr>
          <w:rFonts w:ascii="Times New Roman" w:hAnsi="Times New Roman"/>
        </w:rPr>
        <w:t xml:space="preserve">. </w:t>
      </w:r>
    </w:p>
    <w:p w14:paraId="0256B5B5" w14:textId="77777777" w:rsidR="00415D20" w:rsidRDefault="00415D20" w:rsidP="00415D20">
      <w:pPr>
        <w:jc w:val="both"/>
        <w:rPr>
          <w:rFonts w:ascii="Times New Roman" w:hAnsi="Times New Roman"/>
        </w:rPr>
      </w:pPr>
    </w:p>
    <w:p w14:paraId="093E03B7" w14:textId="3FF991E9" w:rsidR="00445CB4" w:rsidRDefault="00415D20" w:rsidP="00445CB4">
      <w:pPr>
        <w:jc w:val="both"/>
        <w:rPr>
          <w:rFonts w:ascii="Times New Roman" w:hAnsi="Times New Roman"/>
        </w:rPr>
      </w:pPr>
      <w:r>
        <w:rPr>
          <w:rFonts w:ascii="Times New Roman" w:hAnsi="Times New Roman"/>
        </w:rPr>
        <w:t>En réalité</w:t>
      </w:r>
      <w:r w:rsidR="00445CB4">
        <w:rPr>
          <w:rFonts w:ascii="Times New Roman" w:hAnsi="Times New Roman"/>
        </w:rPr>
        <w:t xml:space="preserve">, en vertu du principe dispositif, le juge </w:t>
      </w:r>
      <w:r w:rsidR="00445CB4" w:rsidRPr="00BD1891">
        <w:rPr>
          <w:rFonts w:ascii="Times New Roman" w:hAnsi="Times New Roman"/>
          <w:i/>
        </w:rPr>
        <w:t>ne peut pas</w:t>
      </w:r>
      <w:r w:rsidR="00445CB4">
        <w:rPr>
          <w:rFonts w:ascii="Times New Roman" w:hAnsi="Times New Roman"/>
        </w:rPr>
        <w:t xml:space="preserve"> prononcer d’office la nullité d’une convention si cela ne lui est pas demandé par les parties (section 1) de sorte que son éventuelle obligation se limite à soulever le problème que peut poser la violation par un contrat d’une norme d’ordre public. Même si cette sanction est demandée par une partie, il n’a, sauf si elle est prévue par un texte légal (nullité textuelle), pas l’obligation de la prononcer (section 2) et doit procéder à une appréciation du cas qui lui est soumis afin de déterminer si elle est bien la plus adéquate (section 3).</w:t>
      </w:r>
    </w:p>
    <w:p w14:paraId="37AC0927" w14:textId="77777777" w:rsidR="00F97343" w:rsidRDefault="00F97343" w:rsidP="005F4B7A">
      <w:pPr>
        <w:jc w:val="both"/>
      </w:pPr>
    </w:p>
    <w:p w14:paraId="159EEBBA" w14:textId="3BF07AF6" w:rsidR="00D826C2" w:rsidRPr="007E55C8" w:rsidRDefault="00D826C2" w:rsidP="00A6335F">
      <w:pPr>
        <w:jc w:val="both"/>
        <w:rPr>
          <w:b/>
        </w:rPr>
      </w:pPr>
      <w:r w:rsidRPr="007E55C8">
        <w:rPr>
          <w:b/>
        </w:rPr>
        <w:t>Section 1. Un juge actif</w:t>
      </w:r>
      <w:r w:rsidR="00AD1C83">
        <w:rPr>
          <w:b/>
        </w:rPr>
        <w:t>…</w:t>
      </w:r>
      <w:r w:rsidRPr="007E55C8">
        <w:rPr>
          <w:b/>
        </w:rPr>
        <w:t xml:space="preserve"> mais pas trop</w:t>
      </w:r>
    </w:p>
    <w:p w14:paraId="4D046247" w14:textId="0C711EAC" w:rsidR="00A150BB" w:rsidRDefault="00A150BB" w:rsidP="000C4A0C">
      <w:pPr>
        <w:jc w:val="both"/>
      </w:pPr>
    </w:p>
    <w:p w14:paraId="639AEDD6" w14:textId="6671138C" w:rsidR="00F26D2D" w:rsidRDefault="00E67A43" w:rsidP="00445CB4">
      <w:pPr>
        <w:jc w:val="both"/>
      </w:pPr>
      <w:r w:rsidRPr="00E67A43">
        <w:rPr>
          <w:b/>
        </w:rPr>
        <w:t>2</w:t>
      </w:r>
      <w:r w:rsidR="003F06AA">
        <w:rPr>
          <w:b/>
        </w:rPr>
        <w:t>9</w:t>
      </w:r>
      <w:r w:rsidR="00A6335F" w:rsidRPr="00E67A43">
        <w:rPr>
          <w:b/>
        </w:rPr>
        <w:t xml:space="preserve">. </w:t>
      </w:r>
      <w:r w:rsidR="00445CB4" w:rsidRPr="00E67A43">
        <w:rPr>
          <w:b/>
        </w:rPr>
        <w:t>– Le juge actif.</w:t>
      </w:r>
      <w:r w:rsidR="00445CB4">
        <w:t xml:space="preserve"> </w:t>
      </w:r>
      <w:r w:rsidR="00BD1891">
        <w:t>En 2005,</w:t>
      </w:r>
      <w:r w:rsidR="00445CB4">
        <w:t xml:space="preserve"> l</w:t>
      </w:r>
      <w:r w:rsidR="00A6335F">
        <w:t>a Cour de cassation a consacré l’existence d’un</w:t>
      </w:r>
      <w:r w:rsidR="00A6335F" w:rsidRPr="00270711">
        <w:t xml:space="preserve"> principe général du droit suivant lequel le juge est tenu de trancher le litige conformément à la règle de droit qui lui est applicable, </w:t>
      </w:r>
      <w:r w:rsidR="00A6335F">
        <w:t>de sorte qu’</w:t>
      </w:r>
      <w:r w:rsidR="00A6335F" w:rsidRPr="00270711">
        <w:t>il a l’obligation, en respectant les droits de la défense, de relever d’office les moyens de droit dont l’application est commandée par les faits spécialement invoqués par les parties a</w:t>
      </w:r>
      <w:r w:rsidR="00A6335F">
        <w:t>u soutien de leurs prétentions</w:t>
      </w:r>
      <w:r w:rsidR="00A6335F">
        <w:rPr>
          <w:rStyle w:val="Marquenotebasdepage"/>
        </w:rPr>
        <w:footnoteReference w:id="113"/>
      </w:r>
      <w:r w:rsidR="00A6335F" w:rsidRPr="00270711">
        <w:t xml:space="preserve">. </w:t>
      </w:r>
      <w:r w:rsidR="00A6335F">
        <w:t xml:space="preserve">La règle de droit ainsi visée concerne toutes les normes, qu’elles soient d’ordre public, impératives, voire même supplétives si les parties n’y ont pas dérogé. </w:t>
      </w:r>
    </w:p>
    <w:p w14:paraId="1A5DFC66" w14:textId="77777777" w:rsidR="00923CA1" w:rsidRDefault="00923CA1" w:rsidP="00445CB4">
      <w:pPr>
        <w:jc w:val="both"/>
      </w:pPr>
    </w:p>
    <w:p w14:paraId="1FF3DE34" w14:textId="38F24EBE" w:rsidR="00923CA1" w:rsidRPr="00CB7C87" w:rsidRDefault="00923CA1" w:rsidP="00BD1891">
      <w:pPr>
        <w:jc w:val="both"/>
        <w:rPr>
          <w:rFonts w:eastAsia="MS Mincho"/>
        </w:rPr>
      </w:pPr>
      <w:r>
        <w:rPr>
          <w:rFonts w:eastAsia="MS Mincho"/>
          <w:lang w:val="fr-BE"/>
        </w:rPr>
        <w:t xml:space="preserve">Cette extension de l’office du juge est toutefois confrontée à une limite fondamentale : il </w:t>
      </w:r>
      <w:r w:rsidRPr="00CB7C87">
        <w:rPr>
          <w:rFonts w:eastAsia="MS Mincho"/>
          <w:lang w:val="fr-BE"/>
        </w:rPr>
        <w:t>ne peut modifier « l'objet du litige tel qu'il a été délimité par les parties »</w:t>
      </w:r>
      <w:r w:rsidRPr="00CB7C87">
        <w:rPr>
          <w:rStyle w:val="Marquenotebasdepage"/>
        </w:rPr>
        <w:footnoteReference w:id="114"/>
      </w:r>
      <w:r w:rsidRPr="00CB7C87">
        <w:rPr>
          <w:rFonts w:eastAsia="MS Mincho"/>
          <w:lang w:val="fr-BE"/>
        </w:rPr>
        <w:t xml:space="preserve"> et il ne peut donc </w:t>
      </w:r>
      <w:r w:rsidRPr="00CB7C87">
        <w:rPr>
          <w:rFonts w:eastAsia="MS Mincho"/>
        </w:rPr>
        <w:t>faire droit « à une autre prétention que celle dont il est saisi »</w:t>
      </w:r>
      <w:r w:rsidRPr="00CB7C87">
        <w:rPr>
          <w:rStyle w:val="Marquenotebasdepage"/>
        </w:rPr>
        <w:footnoteReference w:id="115"/>
      </w:r>
      <w:r w:rsidRPr="00CB7C87">
        <w:rPr>
          <w:rFonts w:eastAsia="MS Mincho"/>
        </w:rPr>
        <w:t>.</w:t>
      </w:r>
      <w:r>
        <w:rPr>
          <w:rFonts w:eastAsia="MS Mincho"/>
        </w:rPr>
        <w:t xml:space="preserve"> </w:t>
      </w:r>
      <w:r w:rsidR="00BD1891">
        <w:rPr>
          <w:rFonts w:eastAsia="MS Mincho"/>
        </w:rPr>
        <w:t>Il s’agit de l’</w:t>
      </w:r>
      <w:r w:rsidRPr="00CB7C87">
        <w:rPr>
          <w:rFonts w:eastAsia="MS Mincho"/>
        </w:rPr>
        <w:t xml:space="preserve">expression du principe dispositif, selon lequel il </w:t>
      </w:r>
      <w:r>
        <w:rPr>
          <w:rFonts w:eastAsia="MS Mincho"/>
        </w:rPr>
        <w:t>revient</w:t>
      </w:r>
      <w:r w:rsidRPr="00CB7C87">
        <w:rPr>
          <w:rFonts w:eastAsia="MS Mincho"/>
        </w:rPr>
        <w:t xml:space="preserve"> </w:t>
      </w:r>
      <w:r>
        <w:rPr>
          <w:rFonts w:eastAsia="MS Mincho"/>
        </w:rPr>
        <w:t xml:space="preserve">uniquement </w:t>
      </w:r>
      <w:r w:rsidRPr="00CB7C87">
        <w:rPr>
          <w:rFonts w:eastAsia="MS Mincho"/>
        </w:rPr>
        <w:t>aux parties de déterminer l’objet du litige.</w:t>
      </w:r>
      <w:r>
        <w:rPr>
          <w:rFonts w:eastAsia="MS Mincho"/>
        </w:rPr>
        <w:t xml:space="preserve"> En matière de nullité, cela signifie que le juge ne peut pas prononcer la nullité d’une convention si cela ne lui est pas demandé, ce qui n</w:t>
      </w:r>
      <w:r w:rsidR="00BD1891">
        <w:rPr>
          <w:rFonts w:eastAsia="MS Mincho"/>
        </w:rPr>
        <w:t>’implique</w:t>
      </w:r>
      <w:r>
        <w:rPr>
          <w:rFonts w:eastAsia="MS Mincho"/>
        </w:rPr>
        <w:t xml:space="preserve"> évidemment pas qu’il </w:t>
      </w:r>
      <w:r w:rsidR="00BD1891">
        <w:rPr>
          <w:rFonts w:eastAsia="MS Mincho"/>
        </w:rPr>
        <w:t xml:space="preserve">ne puisse pas refuser </w:t>
      </w:r>
      <w:r>
        <w:rPr>
          <w:rFonts w:eastAsia="MS Mincho"/>
        </w:rPr>
        <w:t xml:space="preserve">de faire droit aux demandes fondées sur une violation de l’ordre public. </w:t>
      </w:r>
    </w:p>
    <w:p w14:paraId="6C149054" w14:textId="77777777" w:rsidR="00A6335F" w:rsidRDefault="00A6335F" w:rsidP="00A6335F">
      <w:pPr>
        <w:jc w:val="both"/>
      </w:pPr>
    </w:p>
    <w:p w14:paraId="4338A33C" w14:textId="64749783" w:rsidR="00923CA1" w:rsidRDefault="00F24D9C" w:rsidP="00923CA1">
      <w:pPr>
        <w:jc w:val="both"/>
        <w:rPr>
          <w:rFonts w:ascii="Times New Roman" w:hAnsi="Times New Roman"/>
          <w:lang w:val="fr-BE"/>
        </w:rPr>
      </w:pPr>
      <w:r w:rsidRPr="00F24D9C">
        <w:t>H. Motulsky</w:t>
      </w:r>
      <w:r w:rsidR="00923CA1">
        <w:t>, qui a inspiré la consécration de la théorie factuelle de la cause, affirmait</w:t>
      </w:r>
      <w:r w:rsidRPr="00F24D9C">
        <w:t xml:space="preserve"> déjà, </w:t>
      </w:r>
      <w:r w:rsidR="00923CA1">
        <w:t>en 1</w:t>
      </w:r>
      <w:r w:rsidR="00BD1891">
        <w:t>9</w:t>
      </w:r>
      <w:r w:rsidR="00923CA1">
        <w:t>64</w:t>
      </w:r>
      <w:r w:rsidRPr="00F24D9C">
        <w:t>, que lorsqu’une partie demande l’exécution d’un contrat contraire à l’ordre public sans que l’autre n’invoque sa nullité : « (…) le juge doit d’office débouter le demandeur par le motif que le contrat est frappé d’une nullité d’ordre public (…) il ne saurait, en revanche, prononcer la nullité de la convention ; car il changerait alors l’objet de la demande, ce à quoi même l’ordre public ne peut pas l’habiliter »</w:t>
      </w:r>
      <w:r>
        <w:rPr>
          <w:rStyle w:val="Marquenotebasdepage"/>
        </w:rPr>
        <w:footnoteReference w:id="116"/>
      </w:r>
      <w:r w:rsidR="00923CA1">
        <w:t xml:space="preserve">. Deux ans plus tard, Fr. Rigaux écrivait </w:t>
      </w:r>
      <w:r w:rsidRPr="00F24D9C">
        <w:t xml:space="preserve">que l’obligation du juge de soulever d’office toutes les contestations d’ordre public ne vise que l’effet négatif de celui-ci (qui impose au juge d’écarter d’office tout demande, défense ou </w:t>
      </w:r>
      <w:r w:rsidRPr="00F24D9C">
        <w:lastRenderedPageBreak/>
        <w:t>exception qui lui seraient contraires), le principe dispositif opposant « de sérieux obstacles aux initiatives du juge » sous l’angle de son effet positif (hypothèse où les « faits allégués par les parties révèlent au juge qu’un effet juridique découlant d’une loi impérative ou intéressant l’ordre public n’a pas été expressément postulé par celui qui y avait intérêt »). Dans ce cas, il faut « renverser le rapport de force » entre droit substantiel et droit judiciaire », sous peine de « faire éclater la structure du droit judiciaire »</w:t>
      </w:r>
      <w:r>
        <w:rPr>
          <w:rStyle w:val="Marquenotebasdepage"/>
        </w:rPr>
        <w:footnoteReference w:id="117"/>
      </w:r>
      <w:r w:rsidR="00923CA1">
        <w:t xml:space="preserve">. Comme </w:t>
      </w:r>
      <w:r w:rsidR="00923CA1">
        <w:rPr>
          <w:rFonts w:ascii="Times New Roman" w:hAnsi="Times New Roman"/>
          <w:lang w:val="fr-BE"/>
        </w:rPr>
        <w:t xml:space="preserve">le conclut J.-Fr. Van Drooghenbroeck, l’obligation du juge </w:t>
      </w:r>
      <w:r w:rsidR="00923CA1" w:rsidRPr="001B0FC3">
        <w:rPr>
          <w:rFonts w:ascii="Times New Roman" w:hAnsi="Times New Roman"/>
          <w:lang w:val="fr-BE"/>
        </w:rPr>
        <w:t>« sur ce point, cède le pas au principe dispositif »</w:t>
      </w:r>
      <w:r w:rsidR="00923CA1" w:rsidRPr="001B0FC3">
        <w:rPr>
          <w:rStyle w:val="Marquenotebasdepage"/>
          <w:rFonts w:ascii="Times New Roman" w:hAnsi="Times New Roman"/>
          <w:lang w:val="fr-BE"/>
        </w:rPr>
        <w:footnoteReference w:id="118"/>
      </w:r>
      <w:r w:rsidR="00923CA1">
        <w:rPr>
          <w:rFonts w:ascii="Times New Roman" w:hAnsi="Times New Roman"/>
          <w:lang w:val="fr-BE"/>
        </w:rPr>
        <w:t>.</w:t>
      </w:r>
      <w:r w:rsidR="00923CA1" w:rsidRPr="00823CF3">
        <w:rPr>
          <w:rFonts w:ascii="Times New Roman" w:hAnsi="Times New Roman"/>
          <w:lang w:val="fr-BE"/>
        </w:rPr>
        <w:t xml:space="preserve"> </w:t>
      </w:r>
    </w:p>
    <w:p w14:paraId="7F8C3FF8" w14:textId="77777777" w:rsidR="00F24D9C" w:rsidRDefault="00F24D9C" w:rsidP="008472D8">
      <w:pPr>
        <w:jc w:val="both"/>
      </w:pPr>
    </w:p>
    <w:p w14:paraId="26A5526E" w14:textId="4C5F9C2D" w:rsidR="00A6335F" w:rsidRPr="00197336" w:rsidRDefault="00AD1C83" w:rsidP="008472D8">
      <w:pPr>
        <w:jc w:val="both"/>
        <w:rPr>
          <w:rFonts w:ascii="Times New Roman" w:hAnsi="Times New Roman"/>
          <w:lang w:val="fr-BE"/>
        </w:rPr>
      </w:pPr>
      <w:r>
        <w:rPr>
          <w:rFonts w:ascii="Times New Roman" w:hAnsi="Times New Roman"/>
          <w:lang w:val="fr-BE"/>
        </w:rPr>
        <w:t>Dans un arrêt du 28 septembre 201</w:t>
      </w:r>
      <w:r w:rsidR="00923CA1">
        <w:rPr>
          <w:rFonts w:ascii="Times New Roman" w:hAnsi="Times New Roman"/>
          <w:lang w:val="fr-BE"/>
        </w:rPr>
        <w:t>2</w:t>
      </w:r>
      <w:r>
        <w:rPr>
          <w:rStyle w:val="Marquenotebasdepage"/>
          <w:rFonts w:ascii="Times New Roman" w:hAnsi="Times New Roman"/>
          <w:lang w:val="fr-BE"/>
        </w:rPr>
        <w:footnoteReference w:id="119"/>
      </w:r>
      <w:r>
        <w:rPr>
          <w:rFonts w:ascii="Times New Roman" w:hAnsi="Times New Roman"/>
          <w:lang w:val="fr-BE"/>
        </w:rPr>
        <w:t xml:space="preserve">, </w:t>
      </w:r>
      <w:r w:rsidR="00A6335F">
        <w:rPr>
          <w:rFonts w:ascii="Times New Roman" w:hAnsi="Times New Roman"/>
          <w:lang w:val="fr-BE"/>
        </w:rPr>
        <w:t xml:space="preserve">la Cour </w:t>
      </w:r>
      <w:r>
        <w:rPr>
          <w:rFonts w:ascii="Times New Roman" w:hAnsi="Times New Roman"/>
          <w:lang w:val="fr-BE"/>
        </w:rPr>
        <w:t xml:space="preserve">de cassation </w:t>
      </w:r>
      <w:r w:rsidR="00A6335F">
        <w:rPr>
          <w:rFonts w:ascii="Times New Roman" w:hAnsi="Times New Roman"/>
          <w:lang w:val="fr-BE"/>
        </w:rPr>
        <w:t xml:space="preserve">a </w:t>
      </w:r>
      <w:r w:rsidR="00923CA1">
        <w:rPr>
          <w:rFonts w:ascii="Times New Roman" w:hAnsi="Times New Roman"/>
          <w:lang w:val="fr-BE"/>
        </w:rPr>
        <w:t xml:space="preserve">confirmé que le principe dispositif </w:t>
      </w:r>
      <w:r w:rsidR="008472D8">
        <w:rPr>
          <w:rFonts w:ascii="Times New Roman" w:hAnsi="Times New Roman"/>
          <w:lang w:val="fr-BE"/>
        </w:rPr>
        <w:t>signifie que, l</w:t>
      </w:r>
      <w:r w:rsidR="00A6335F">
        <w:rPr>
          <w:rFonts w:ascii="Times New Roman" w:hAnsi="Times New Roman"/>
          <w:lang w:val="fr-BE"/>
        </w:rPr>
        <w:t>orsque les parties s’entendent pour demander en justice l’exécution d</w:t>
      </w:r>
      <w:r w:rsidR="008472D8">
        <w:rPr>
          <w:rFonts w:ascii="Times New Roman" w:hAnsi="Times New Roman"/>
          <w:lang w:val="fr-BE"/>
        </w:rPr>
        <w:t>’</w:t>
      </w:r>
      <w:r w:rsidR="00A6335F">
        <w:rPr>
          <w:rFonts w:ascii="Times New Roman" w:hAnsi="Times New Roman"/>
          <w:lang w:val="fr-BE"/>
        </w:rPr>
        <w:t>u</w:t>
      </w:r>
      <w:r w:rsidR="008472D8">
        <w:rPr>
          <w:rFonts w:ascii="Times New Roman" w:hAnsi="Times New Roman"/>
          <w:lang w:val="fr-BE"/>
        </w:rPr>
        <w:t>n</w:t>
      </w:r>
      <w:r w:rsidR="00A6335F">
        <w:rPr>
          <w:rFonts w:ascii="Times New Roman" w:hAnsi="Times New Roman"/>
          <w:lang w:val="fr-BE"/>
        </w:rPr>
        <w:t xml:space="preserve"> contrat</w:t>
      </w:r>
      <w:r w:rsidR="008472D8">
        <w:rPr>
          <w:rFonts w:ascii="Times New Roman" w:hAnsi="Times New Roman"/>
          <w:lang w:val="fr-BE"/>
        </w:rPr>
        <w:t xml:space="preserve"> de vente contraire à l’ordre public, le juge ne peut</w:t>
      </w:r>
      <w:r w:rsidR="008472D8" w:rsidRPr="00197336">
        <w:rPr>
          <w:rFonts w:ascii="Times New Roman" w:hAnsi="Times New Roman"/>
          <w:lang w:val="fr-BE"/>
        </w:rPr>
        <w:t xml:space="preserve"> </w:t>
      </w:r>
      <w:r w:rsidR="008472D8">
        <w:rPr>
          <w:rFonts w:ascii="Times New Roman" w:hAnsi="Times New Roman"/>
          <w:lang w:val="fr-BE"/>
        </w:rPr>
        <w:t xml:space="preserve">déclarer cette convention nulle, ordonner « d’office </w:t>
      </w:r>
      <w:r w:rsidR="008472D8" w:rsidRPr="00197336">
        <w:rPr>
          <w:rFonts w:ascii="Times New Roman" w:hAnsi="Times New Roman"/>
          <w:lang w:val="fr-BE"/>
        </w:rPr>
        <w:t>à un huissier de justice de transcrire au bureau de la conservation des hypothèques l</w:t>
      </w:r>
      <w:r w:rsidR="008472D8">
        <w:rPr>
          <w:rFonts w:ascii="Times New Roman" w:hAnsi="Times New Roman"/>
          <w:lang w:val="fr-BE"/>
        </w:rPr>
        <w:t>’</w:t>
      </w:r>
      <w:r w:rsidR="008472D8" w:rsidRPr="00197336">
        <w:rPr>
          <w:rFonts w:ascii="Times New Roman" w:hAnsi="Times New Roman"/>
          <w:lang w:val="fr-BE"/>
        </w:rPr>
        <w:t>arrêt d'annulation du transfert de propriété en marge des transcriptions faites auparavant de l'acte de vente</w:t>
      </w:r>
      <w:r w:rsidR="008472D8">
        <w:rPr>
          <w:rFonts w:ascii="Times New Roman" w:hAnsi="Times New Roman"/>
          <w:lang w:val="fr-BE"/>
        </w:rPr>
        <w:t> »</w:t>
      </w:r>
      <w:r w:rsidR="008472D8" w:rsidRPr="00197336">
        <w:rPr>
          <w:rFonts w:ascii="Times New Roman" w:hAnsi="Times New Roman"/>
          <w:lang w:val="fr-BE"/>
        </w:rPr>
        <w:t xml:space="preserve"> et </w:t>
      </w:r>
      <w:r w:rsidR="008472D8">
        <w:rPr>
          <w:rFonts w:ascii="Times New Roman" w:hAnsi="Times New Roman"/>
          <w:lang w:val="fr-BE"/>
        </w:rPr>
        <w:t>condamner le vendeur au remboursement du prix payé</w:t>
      </w:r>
      <w:r w:rsidR="008472D8" w:rsidRPr="00197336">
        <w:rPr>
          <w:rFonts w:ascii="Times New Roman" w:hAnsi="Times New Roman"/>
          <w:lang w:val="fr-BE"/>
        </w:rPr>
        <w:t>.</w:t>
      </w:r>
      <w:r w:rsidR="008472D8">
        <w:rPr>
          <w:rFonts w:ascii="Times New Roman" w:hAnsi="Times New Roman"/>
          <w:lang w:val="fr-BE"/>
        </w:rPr>
        <w:t xml:space="preserve"> En revanche, il ne modifie pas l’objet de la demande </w:t>
      </w:r>
      <w:r w:rsidR="00A6335F">
        <w:rPr>
          <w:rFonts w:ascii="Times New Roman" w:hAnsi="Times New Roman"/>
          <w:lang w:val="fr-BE"/>
        </w:rPr>
        <w:t>en rejetant celle-ci en raison de sa contrariété à l’ordre public mais</w:t>
      </w:r>
      <w:r w:rsidR="00A6335F" w:rsidRPr="00197336">
        <w:rPr>
          <w:rFonts w:ascii="Times New Roman" w:hAnsi="Times New Roman"/>
          <w:lang w:val="fr-BE"/>
        </w:rPr>
        <w:t xml:space="preserve"> il applique</w:t>
      </w:r>
      <w:r w:rsidR="00A6335F">
        <w:rPr>
          <w:rFonts w:ascii="Times New Roman" w:hAnsi="Times New Roman"/>
          <w:lang w:val="fr-BE"/>
        </w:rPr>
        <w:t>, tout simplement,</w:t>
      </w:r>
      <w:r w:rsidR="00A6335F" w:rsidRPr="00197336">
        <w:rPr>
          <w:rFonts w:ascii="Times New Roman" w:hAnsi="Times New Roman"/>
          <w:lang w:val="fr-BE"/>
        </w:rPr>
        <w:t xml:space="preserve"> les dispositions d</w:t>
      </w:r>
      <w:r w:rsidR="00A6335F">
        <w:rPr>
          <w:rFonts w:ascii="Times New Roman" w:hAnsi="Times New Roman"/>
          <w:lang w:val="fr-BE"/>
        </w:rPr>
        <w:t>’</w:t>
      </w:r>
      <w:r w:rsidR="00A6335F" w:rsidRPr="00197336">
        <w:rPr>
          <w:rFonts w:ascii="Times New Roman" w:hAnsi="Times New Roman"/>
          <w:lang w:val="fr-BE"/>
        </w:rPr>
        <w:t>ordre public que les parties ont entendu exclure</w:t>
      </w:r>
      <w:r w:rsidR="008472D8">
        <w:rPr>
          <w:rStyle w:val="Marquenotebasdepage"/>
          <w:rFonts w:ascii="Times New Roman" w:hAnsi="Times New Roman"/>
          <w:lang w:val="fr-BE"/>
        </w:rPr>
        <w:footnoteReference w:id="120"/>
      </w:r>
      <w:r w:rsidR="00A6335F" w:rsidRPr="00197336">
        <w:rPr>
          <w:rFonts w:ascii="Times New Roman" w:hAnsi="Times New Roman"/>
          <w:lang w:val="fr-BE"/>
        </w:rPr>
        <w:t>.</w:t>
      </w:r>
    </w:p>
    <w:p w14:paraId="6659E1BE" w14:textId="428AE739" w:rsidR="007369B3" w:rsidRDefault="007369B3" w:rsidP="005F4B7A">
      <w:pPr>
        <w:jc w:val="both"/>
      </w:pPr>
    </w:p>
    <w:p w14:paraId="4D973A54" w14:textId="74666357" w:rsidR="005E2D80" w:rsidRPr="00E67A43" w:rsidRDefault="00D826C2" w:rsidP="005F4B7A">
      <w:pPr>
        <w:jc w:val="both"/>
        <w:rPr>
          <w:u w:val="single"/>
        </w:rPr>
      </w:pPr>
      <w:r w:rsidRPr="00E67A43">
        <w:rPr>
          <w:u w:val="single"/>
        </w:rPr>
        <w:t>Section 2</w:t>
      </w:r>
      <w:r w:rsidR="005E2D80" w:rsidRPr="00E67A43">
        <w:rPr>
          <w:u w:val="single"/>
        </w:rPr>
        <w:t>. La distinction entre nullités virtuelles et textuelles</w:t>
      </w:r>
    </w:p>
    <w:p w14:paraId="603002FE" w14:textId="77777777" w:rsidR="005E2D80" w:rsidRPr="00E67A43" w:rsidRDefault="005E2D80" w:rsidP="005F4B7A">
      <w:pPr>
        <w:jc w:val="both"/>
        <w:rPr>
          <w:b/>
        </w:rPr>
      </w:pPr>
    </w:p>
    <w:p w14:paraId="1C055391" w14:textId="14AABE68" w:rsidR="00425751" w:rsidRDefault="003F06AA" w:rsidP="0033731E">
      <w:pPr>
        <w:jc w:val="both"/>
        <w:rPr>
          <w:rFonts w:ascii="Times New Roman" w:hAnsi="Times New Roman"/>
          <w:lang w:val="fr-BE"/>
        </w:rPr>
      </w:pPr>
      <w:r>
        <w:rPr>
          <w:b/>
        </w:rPr>
        <w:t>30</w:t>
      </w:r>
      <w:r w:rsidR="00E67A43" w:rsidRPr="00E67A43">
        <w:rPr>
          <w:b/>
        </w:rPr>
        <w:t xml:space="preserve">. - </w:t>
      </w:r>
      <w:r w:rsidR="00507E06">
        <w:t>M</w:t>
      </w:r>
      <w:r w:rsidR="0033731E">
        <w:t xml:space="preserve">ême si la nullité absolue est demandée par une partie, le juge n’a pas nécessairement l’obligation de la prononcer. </w:t>
      </w:r>
      <w:r w:rsidR="00425751">
        <w:rPr>
          <w:rFonts w:ascii="Times New Roman" w:hAnsi="Times New Roman"/>
          <w:lang w:val="fr-BE"/>
        </w:rPr>
        <w:t>A la suite de R. Japiot</w:t>
      </w:r>
      <w:r w:rsidR="00425751">
        <w:rPr>
          <w:rStyle w:val="Marquenotebasdepage"/>
          <w:rFonts w:ascii="Times New Roman" w:hAnsi="Times New Roman"/>
          <w:lang w:val="fr-BE"/>
        </w:rPr>
        <w:footnoteReference w:id="121"/>
      </w:r>
      <w:r w:rsidR="00425751">
        <w:rPr>
          <w:rFonts w:ascii="Times New Roman" w:hAnsi="Times New Roman"/>
          <w:lang w:val="fr-BE"/>
        </w:rPr>
        <w:t xml:space="preserve">, Cl. Renard et E. Vieuxjean se demandaient s’« il ne fallait pas, </w:t>
      </w:r>
      <w:r w:rsidR="00425751" w:rsidRPr="001B0FC3">
        <w:rPr>
          <w:rFonts w:ascii="Times New Roman" w:hAnsi="Times New Roman"/>
          <w:lang w:val="fr-BE"/>
        </w:rPr>
        <w:t>dans certains cas, protéger l’apparence de droit</w:t>
      </w:r>
      <w:r w:rsidR="00425751">
        <w:rPr>
          <w:rFonts w:ascii="Times New Roman" w:hAnsi="Times New Roman"/>
          <w:lang w:val="fr-BE"/>
        </w:rPr>
        <w:t> »</w:t>
      </w:r>
      <w:r w:rsidR="00425751" w:rsidRPr="001B0FC3">
        <w:rPr>
          <w:rFonts w:ascii="Times New Roman" w:hAnsi="Times New Roman"/>
          <w:lang w:val="fr-BE"/>
        </w:rPr>
        <w:t xml:space="preserve"> et « restreindre le droit de critique ou soustraire partiellement ou même totalement l’acte vicié ou ses conséquences à l’action de la nullité ? »</w:t>
      </w:r>
      <w:r w:rsidR="00425751" w:rsidRPr="001B0FC3">
        <w:rPr>
          <w:rStyle w:val="Marquenotebasdepage"/>
          <w:rFonts w:ascii="Times New Roman" w:hAnsi="Times New Roman"/>
          <w:lang w:val="fr-BE"/>
        </w:rPr>
        <w:footnoteReference w:id="122"/>
      </w:r>
      <w:r w:rsidR="00425751">
        <w:rPr>
          <w:rFonts w:ascii="Times New Roman" w:hAnsi="Times New Roman"/>
          <w:lang w:val="fr-BE"/>
        </w:rPr>
        <w:t xml:space="preserve">. Plus récemment, M. </w:t>
      </w:r>
      <w:r w:rsidR="00425751" w:rsidRPr="00193BBA">
        <w:rPr>
          <w:rFonts w:ascii="Times New Roman" w:hAnsi="Times New Roman"/>
          <w:lang w:val="fr-BE"/>
        </w:rPr>
        <w:t>V</w:t>
      </w:r>
      <w:r w:rsidR="00425751">
        <w:rPr>
          <w:rFonts w:ascii="Times New Roman" w:hAnsi="Times New Roman"/>
          <w:lang w:val="fr-BE"/>
        </w:rPr>
        <w:t>on</w:t>
      </w:r>
      <w:r w:rsidR="00425751" w:rsidRPr="00193BBA">
        <w:rPr>
          <w:rFonts w:ascii="Times New Roman" w:hAnsi="Times New Roman"/>
          <w:lang w:val="fr-BE"/>
        </w:rPr>
        <w:t xml:space="preserve"> K</w:t>
      </w:r>
      <w:r w:rsidR="00425751">
        <w:rPr>
          <w:rFonts w:ascii="Times New Roman" w:hAnsi="Times New Roman"/>
          <w:lang w:val="fr-BE"/>
        </w:rPr>
        <w:t>uegelgen suggérait, de même, de tenir, dans certains cas, la nullité en échec par application de la théorie de l’apparence</w:t>
      </w:r>
      <w:r w:rsidR="00425751" w:rsidRPr="000A0EE0">
        <w:rPr>
          <w:rFonts w:ascii="Times New Roman" w:hAnsi="Times New Roman"/>
          <w:b/>
          <w:lang w:val="fr-BE"/>
        </w:rPr>
        <w:t xml:space="preserve"> </w:t>
      </w:r>
      <w:r w:rsidR="00425751" w:rsidRPr="0031464C">
        <w:rPr>
          <w:rFonts w:ascii="Times New Roman" w:hAnsi="Times New Roman"/>
          <w:lang w:val="fr-BE"/>
        </w:rPr>
        <w:t>et ce, pour des raisons de sécurité juridique et de confiance légitime</w:t>
      </w:r>
      <w:r w:rsidR="00425751" w:rsidRPr="001B0FC3">
        <w:rPr>
          <w:rStyle w:val="Marquenotebasdepage"/>
          <w:rFonts w:ascii="Times New Roman" w:hAnsi="Times New Roman"/>
          <w:lang w:val="fr-BE"/>
        </w:rPr>
        <w:footnoteReference w:id="123"/>
      </w:r>
      <w:r w:rsidR="00425751">
        <w:rPr>
          <w:rFonts w:ascii="Times New Roman" w:hAnsi="Times New Roman"/>
          <w:lang w:val="fr-BE"/>
        </w:rPr>
        <w:t xml:space="preserve">. </w:t>
      </w:r>
    </w:p>
    <w:p w14:paraId="5B4C5542" w14:textId="77777777" w:rsidR="00341339" w:rsidRDefault="00341339" w:rsidP="0033731E">
      <w:pPr>
        <w:jc w:val="both"/>
        <w:rPr>
          <w:rFonts w:ascii="Times New Roman" w:hAnsi="Times New Roman"/>
          <w:lang w:val="fr-BE"/>
        </w:rPr>
      </w:pPr>
    </w:p>
    <w:p w14:paraId="1A6FA4AA" w14:textId="18A07341" w:rsidR="00341339" w:rsidRDefault="00341339" w:rsidP="0033731E">
      <w:pPr>
        <w:jc w:val="both"/>
        <w:rPr>
          <w:rFonts w:ascii="Times New Roman" w:hAnsi="Times New Roman"/>
          <w:lang w:val="fr-BE"/>
        </w:rPr>
      </w:pPr>
      <w:r>
        <w:rPr>
          <w:rFonts w:ascii="Times New Roman" w:hAnsi="Times New Roman"/>
        </w:rPr>
        <w:t>L’essentiel du pouvoir d’appréciation du juge en la matière nous paraît toutefois résulter d’une lecture renouvelée de la notion de nullité virtuelle (§1</w:t>
      </w:r>
      <w:r w:rsidRPr="00341339">
        <w:rPr>
          <w:rFonts w:ascii="Times New Roman" w:hAnsi="Times New Roman"/>
          <w:vertAlign w:val="superscript"/>
        </w:rPr>
        <w:t>er</w:t>
      </w:r>
      <w:r>
        <w:rPr>
          <w:rFonts w:ascii="Times New Roman" w:hAnsi="Times New Roman"/>
        </w:rPr>
        <w:t>), notamment au sein du Code civil (§2).</w:t>
      </w:r>
    </w:p>
    <w:p w14:paraId="5E3EB493" w14:textId="77777777" w:rsidR="00341339" w:rsidRDefault="00341339" w:rsidP="00425751">
      <w:pPr>
        <w:jc w:val="both"/>
        <w:rPr>
          <w:rFonts w:ascii="Times New Roman" w:hAnsi="Times New Roman"/>
        </w:rPr>
      </w:pPr>
    </w:p>
    <w:p w14:paraId="59AAE753" w14:textId="7C9DF2E3" w:rsidR="00C05991" w:rsidRPr="00341339" w:rsidRDefault="00C05991" w:rsidP="00425751">
      <w:pPr>
        <w:jc w:val="both"/>
        <w:rPr>
          <w:rFonts w:ascii="Times New Roman" w:hAnsi="Times New Roman"/>
          <w:i/>
        </w:rPr>
      </w:pPr>
      <w:r w:rsidRPr="00341339">
        <w:rPr>
          <w:rFonts w:ascii="Times New Roman" w:hAnsi="Times New Roman"/>
          <w:i/>
        </w:rPr>
        <w:t>§1. Les nullités virtuelles</w:t>
      </w:r>
    </w:p>
    <w:p w14:paraId="23F80329" w14:textId="77777777" w:rsidR="00C05991" w:rsidRDefault="00C05991" w:rsidP="00425751">
      <w:pPr>
        <w:jc w:val="both"/>
        <w:rPr>
          <w:rFonts w:ascii="Times New Roman" w:hAnsi="Times New Roman"/>
        </w:rPr>
      </w:pPr>
    </w:p>
    <w:p w14:paraId="110EF109" w14:textId="3379BDC7" w:rsidR="00425751" w:rsidRPr="005F750A" w:rsidRDefault="00341339" w:rsidP="00425751">
      <w:pPr>
        <w:jc w:val="both"/>
      </w:pPr>
      <w:r>
        <w:rPr>
          <w:rFonts w:ascii="Times New Roman" w:hAnsi="Times New Roman"/>
          <w:b/>
        </w:rPr>
        <w:t>3</w:t>
      </w:r>
      <w:r w:rsidR="003F06AA">
        <w:rPr>
          <w:rFonts w:ascii="Times New Roman" w:hAnsi="Times New Roman"/>
          <w:b/>
        </w:rPr>
        <w:t>1</w:t>
      </w:r>
      <w:r w:rsidR="008C6674" w:rsidRPr="008C6674">
        <w:rPr>
          <w:rFonts w:ascii="Times New Roman" w:hAnsi="Times New Roman"/>
          <w:b/>
        </w:rPr>
        <w:t>. - Une notion ancienne</w:t>
      </w:r>
      <w:r w:rsidR="008C6674">
        <w:rPr>
          <w:rFonts w:ascii="Times New Roman" w:hAnsi="Times New Roman"/>
          <w:b/>
        </w:rPr>
        <w:t>…</w:t>
      </w:r>
      <w:r w:rsidR="00425751" w:rsidRPr="008C6674">
        <w:rPr>
          <w:rFonts w:ascii="Times New Roman" w:hAnsi="Times New Roman"/>
          <w:b/>
        </w:rPr>
        <w:t xml:space="preserve"> </w:t>
      </w:r>
      <w:r w:rsidR="00425751">
        <w:rPr>
          <w:rFonts w:ascii="Times New Roman" w:hAnsi="Times New Roman"/>
          <w:lang w:val="fr-BE"/>
        </w:rPr>
        <w:t>On l’a vu, dès le 19</w:t>
      </w:r>
      <w:r w:rsidR="00425751" w:rsidRPr="00FF496D">
        <w:rPr>
          <w:rFonts w:ascii="Times New Roman" w:hAnsi="Times New Roman"/>
          <w:vertAlign w:val="superscript"/>
          <w:lang w:val="fr-BE"/>
        </w:rPr>
        <w:t>ème</w:t>
      </w:r>
      <w:r w:rsidR="00425751">
        <w:rPr>
          <w:rFonts w:ascii="Times New Roman" w:hAnsi="Times New Roman"/>
          <w:lang w:val="fr-BE"/>
        </w:rPr>
        <w:t xml:space="preserve"> siècle et hormis la matière du mariage, des exceptions à la règle </w:t>
      </w:r>
      <w:r w:rsidR="00425751" w:rsidRPr="001B0FC3">
        <w:rPr>
          <w:rFonts w:ascii="Times New Roman" w:hAnsi="Times New Roman"/>
          <w:lang w:val="fr-BE"/>
        </w:rPr>
        <w:t xml:space="preserve">« pas de nullité sans texte » </w:t>
      </w:r>
      <w:r w:rsidR="00425751">
        <w:rPr>
          <w:rFonts w:ascii="Times New Roman" w:hAnsi="Times New Roman"/>
          <w:lang w:val="fr-BE"/>
        </w:rPr>
        <w:t xml:space="preserve">étaient admises. Telle est l’origine de la </w:t>
      </w:r>
      <w:r w:rsidR="00425751">
        <w:rPr>
          <w:rFonts w:ascii="Times New Roman" w:hAnsi="Times New Roman"/>
          <w:lang w:val="fr-BE"/>
        </w:rPr>
        <w:lastRenderedPageBreak/>
        <w:t>distinction entre les nullités textuelles et virtuelles, déjà présente chez Aubry et Rau</w:t>
      </w:r>
      <w:r w:rsidR="00425751" w:rsidRPr="001B0FC3">
        <w:rPr>
          <w:rStyle w:val="Marquenotebasdepage"/>
          <w:rFonts w:ascii="Times New Roman" w:hAnsi="Times New Roman"/>
          <w:lang w:val="fr-BE"/>
        </w:rPr>
        <w:footnoteReference w:id="124"/>
      </w:r>
      <w:r w:rsidR="00425751">
        <w:rPr>
          <w:rFonts w:ascii="Times New Roman" w:hAnsi="Times New Roman"/>
          <w:lang w:val="fr-BE"/>
        </w:rPr>
        <w:t> : a</w:t>
      </w:r>
      <w:r w:rsidR="00425751">
        <w:t>lors que les premières sont explicitement prévues par le texte légal, les autres sont déduites, par interprétation, à partir de celui-ci</w:t>
      </w:r>
      <w:r w:rsidR="00425751">
        <w:rPr>
          <w:rStyle w:val="Marquenotebasdepage"/>
          <w:rFonts w:ascii="Times New Roman" w:hAnsi="Times New Roman"/>
          <w:lang w:val="fr-BE"/>
        </w:rPr>
        <w:footnoteReference w:id="125"/>
      </w:r>
      <w:r w:rsidR="00425751">
        <w:rPr>
          <w:rFonts w:ascii="Times New Roman" w:hAnsi="Times New Roman"/>
          <w:lang w:val="fr-BE"/>
        </w:rPr>
        <w:t>. Dans son célèbre ouvrage, R. Japiot écrivait que la nullité pouvait être appliquée « même en l’absence de texte qui l’édicte, sauf (…) si elle semble trop mal adaptée au milieu où elle aurait à fonctionner : mieux vaudrait alors tolérer l’efficacité comme un moindre mal »</w:t>
      </w:r>
      <w:r w:rsidR="00425751">
        <w:rPr>
          <w:rStyle w:val="Marquenotebasdepage"/>
          <w:rFonts w:ascii="Times New Roman" w:hAnsi="Times New Roman"/>
          <w:lang w:val="fr-BE"/>
        </w:rPr>
        <w:footnoteReference w:id="126"/>
      </w:r>
      <w:r w:rsidR="00425751">
        <w:rPr>
          <w:rFonts w:ascii="Times New Roman" w:hAnsi="Times New Roman"/>
          <w:lang w:val="fr-BE"/>
        </w:rPr>
        <w:t xml:space="preserve">. </w:t>
      </w:r>
    </w:p>
    <w:p w14:paraId="0541AA29" w14:textId="77777777" w:rsidR="00425751" w:rsidRDefault="00425751" w:rsidP="00425751">
      <w:pPr>
        <w:jc w:val="both"/>
        <w:rPr>
          <w:rFonts w:ascii="Times New Roman" w:hAnsi="Times New Roman"/>
          <w:lang w:val="fr-BE"/>
        </w:rPr>
      </w:pPr>
    </w:p>
    <w:p w14:paraId="432989BC" w14:textId="77777777" w:rsidR="00425751" w:rsidRDefault="00425751" w:rsidP="00425751">
      <w:pPr>
        <w:jc w:val="both"/>
        <w:rPr>
          <w:rFonts w:ascii="Times New Roman" w:hAnsi="Times New Roman"/>
          <w:lang w:val="fr-BE"/>
        </w:rPr>
      </w:pPr>
      <w:r>
        <w:rPr>
          <w:rFonts w:ascii="Times New Roman" w:hAnsi="Times New Roman"/>
          <w:lang w:val="fr-BE"/>
        </w:rPr>
        <w:t xml:space="preserve">Cette distinction est largement admise chez nous, même si elle n’est pas toujours bien connue. Selon De Page, </w:t>
      </w:r>
      <w:r w:rsidRPr="001B0FC3">
        <w:rPr>
          <w:rFonts w:ascii="Times New Roman" w:hAnsi="Times New Roman"/>
          <w:lang w:val="fr-BE"/>
        </w:rPr>
        <w:t>la n</w:t>
      </w:r>
      <w:r>
        <w:rPr>
          <w:rFonts w:ascii="Times New Roman" w:hAnsi="Times New Roman"/>
          <w:lang w:val="fr-BE"/>
        </w:rPr>
        <w:t>ullité virtuelle résulte, à défaut de texte, « </w:t>
      </w:r>
      <w:r w:rsidRPr="001B0FC3">
        <w:rPr>
          <w:rFonts w:ascii="Times New Roman" w:hAnsi="Times New Roman"/>
          <w:lang w:val="fr-BE"/>
        </w:rPr>
        <w:t>de l’esprit de la loi, en réalité du sens et de la portée de la règle, analysés par le juge en fonction de l’institution à laquelle la règle violée s’applique, et du sens et de la portée générale de notre législation »</w:t>
      </w:r>
      <w:r w:rsidRPr="001B0FC3">
        <w:rPr>
          <w:rStyle w:val="Marquenotebasdepage"/>
          <w:rFonts w:ascii="Times New Roman" w:hAnsi="Times New Roman"/>
          <w:lang w:val="fr-BE"/>
        </w:rPr>
        <w:footnoteReference w:id="127"/>
      </w:r>
      <w:r>
        <w:rPr>
          <w:rFonts w:ascii="Times New Roman" w:hAnsi="Times New Roman"/>
          <w:lang w:val="fr-BE"/>
        </w:rPr>
        <w:t xml:space="preserve">. Le </w:t>
      </w:r>
      <w:r w:rsidRPr="005F750A">
        <w:rPr>
          <w:rFonts w:ascii="Times New Roman" w:hAnsi="Times New Roman"/>
          <w:i/>
          <w:lang w:val="fr-BE"/>
        </w:rPr>
        <w:t xml:space="preserve">Répertoire pratique de droit belge </w:t>
      </w:r>
      <w:r>
        <w:rPr>
          <w:rFonts w:ascii="Times New Roman" w:hAnsi="Times New Roman"/>
          <w:lang w:val="fr-BE"/>
        </w:rPr>
        <w:t>confirmait la possibilité d’une nullité virtuelle si le but de la règle l’exigeait mais à condition qu’elle ne soit pas trop mal adaptée au milieu où elle aurait à fonctionner</w:t>
      </w:r>
      <w:r>
        <w:rPr>
          <w:rStyle w:val="Marquenotebasdepage"/>
          <w:rFonts w:ascii="Times New Roman" w:hAnsi="Times New Roman"/>
          <w:lang w:val="fr-BE"/>
        </w:rPr>
        <w:footnoteReference w:id="128"/>
      </w:r>
      <w:r>
        <w:rPr>
          <w:rFonts w:ascii="Times New Roman" w:hAnsi="Times New Roman"/>
          <w:lang w:val="fr-BE"/>
        </w:rPr>
        <w:t xml:space="preserve">. </w:t>
      </w:r>
    </w:p>
    <w:p w14:paraId="2B95DCE5" w14:textId="77777777" w:rsidR="00425751" w:rsidRDefault="00425751" w:rsidP="00425751">
      <w:pPr>
        <w:jc w:val="both"/>
        <w:rPr>
          <w:rFonts w:ascii="Times New Roman" w:hAnsi="Times New Roman"/>
          <w:lang w:val="fr-BE"/>
        </w:rPr>
      </w:pPr>
    </w:p>
    <w:p w14:paraId="2F4810BD" w14:textId="6107E8D6" w:rsidR="00425751" w:rsidRDefault="00425751" w:rsidP="00425751">
      <w:pPr>
        <w:jc w:val="both"/>
        <w:rPr>
          <w:rFonts w:ascii="Times New Roman" w:hAnsi="Times New Roman"/>
          <w:lang w:val="fr-BE"/>
        </w:rPr>
      </w:pPr>
      <w:r>
        <w:rPr>
          <w:rFonts w:ascii="Times New Roman" w:hAnsi="Times New Roman"/>
          <w:lang w:val="fr-BE"/>
        </w:rPr>
        <w:t xml:space="preserve">Cl. Renard et E. Vieuxjean ont, par la suite, repris cette idée, en écrivant, dans des termes qui font largement écho au texte de Japiot, qu’à défaut de nullité textuelle, le juge prononce la nullité </w:t>
      </w:r>
      <w:r w:rsidRPr="001B0FC3">
        <w:rPr>
          <w:rFonts w:ascii="Times New Roman" w:hAnsi="Times New Roman"/>
          <w:lang w:val="fr-BE"/>
        </w:rPr>
        <w:t>« s’il apparaît, eu égard à la gravité de l’infraction, que le but et le caractère de la règle violée ou la nature des choses requièrent, en raison, le recours à cette sanction</w:t>
      </w:r>
      <w:r>
        <w:rPr>
          <w:rFonts w:ascii="Times New Roman" w:hAnsi="Times New Roman"/>
          <w:lang w:val="fr-BE"/>
        </w:rPr>
        <w:t> », précisant que « l</w:t>
      </w:r>
      <w:r w:rsidRPr="001B0FC3">
        <w:rPr>
          <w:rFonts w:ascii="Times New Roman" w:hAnsi="Times New Roman"/>
          <w:lang w:val="fr-BE"/>
        </w:rPr>
        <w:t>’extension de la nullité virtuelle ne connaît qu’une limite : on se gardera de l’admettre, lorsqu’elle paraît mal adaptée au milieu de fait où elle aurait à opérer</w:t>
      </w:r>
      <w:r>
        <w:rPr>
          <w:rFonts w:ascii="Times New Roman" w:hAnsi="Times New Roman"/>
          <w:lang w:val="fr-BE"/>
        </w:rPr>
        <w:t> »</w:t>
      </w:r>
      <w:r w:rsidRPr="001B0FC3">
        <w:rPr>
          <w:rFonts w:ascii="Times New Roman" w:hAnsi="Times New Roman"/>
          <w:lang w:val="fr-BE"/>
        </w:rPr>
        <w:t xml:space="preserve">. </w:t>
      </w:r>
      <w:r>
        <w:rPr>
          <w:rFonts w:ascii="Times New Roman" w:hAnsi="Times New Roman"/>
          <w:lang w:val="fr-BE"/>
        </w:rPr>
        <w:t>Selon ces auteurs, en effet, « (m)</w:t>
      </w:r>
      <w:r w:rsidRPr="001B0FC3">
        <w:rPr>
          <w:rFonts w:ascii="Times New Roman" w:hAnsi="Times New Roman"/>
          <w:lang w:val="fr-BE"/>
        </w:rPr>
        <w:t>ieux vaut alors tolérer l’efficacité de l’acte comme un moindre mal, sauf à user d’une autre sanction pour réprimer l’atteinte qu’il porte au droit »</w:t>
      </w:r>
      <w:r w:rsidRPr="001B0FC3">
        <w:rPr>
          <w:rStyle w:val="Marquenotebasdepage"/>
          <w:rFonts w:ascii="Times New Roman" w:hAnsi="Times New Roman"/>
          <w:lang w:val="fr-BE"/>
        </w:rPr>
        <w:footnoteReference w:id="129"/>
      </w:r>
      <w:r>
        <w:rPr>
          <w:rFonts w:ascii="Times New Roman" w:hAnsi="Times New Roman"/>
          <w:lang w:val="fr-BE"/>
        </w:rPr>
        <w:t xml:space="preserve">. </w:t>
      </w:r>
      <w:r w:rsidR="00F90550">
        <w:rPr>
          <w:rFonts w:ascii="Times New Roman" w:hAnsi="Times New Roman"/>
          <w:lang w:val="fr-BE"/>
        </w:rPr>
        <w:t>@@</w:t>
      </w:r>
    </w:p>
    <w:p w14:paraId="7AB6EA70" w14:textId="77777777" w:rsidR="00425751" w:rsidRDefault="00425751" w:rsidP="00425751">
      <w:pPr>
        <w:jc w:val="both"/>
        <w:rPr>
          <w:rFonts w:ascii="Times New Roman" w:hAnsi="Times New Roman"/>
          <w:lang w:val="fr-BE"/>
        </w:rPr>
      </w:pPr>
    </w:p>
    <w:p w14:paraId="564CCB57" w14:textId="67E55E12" w:rsidR="00425751" w:rsidRDefault="00341339" w:rsidP="00425751">
      <w:pPr>
        <w:jc w:val="both"/>
        <w:rPr>
          <w:rFonts w:ascii="Times New Roman" w:hAnsi="Times New Roman"/>
          <w:lang w:val="fr-BE"/>
        </w:rPr>
      </w:pPr>
      <w:r>
        <w:rPr>
          <w:rFonts w:ascii="Times New Roman" w:hAnsi="Times New Roman"/>
          <w:b/>
          <w:lang w:val="fr-BE"/>
        </w:rPr>
        <w:t>3</w:t>
      </w:r>
      <w:r w:rsidR="003F06AA">
        <w:rPr>
          <w:rFonts w:ascii="Times New Roman" w:hAnsi="Times New Roman"/>
          <w:b/>
          <w:lang w:val="fr-BE"/>
        </w:rPr>
        <w:t>2</w:t>
      </w:r>
      <w:r w:rsidR="008C6674" w:rsidRPr="008C6674">
        <w:rPr>
          <w:rFonts w:ascii="Times New Roman" w:hAnsi="Times New Roman"/>
          <w:b/>
          <w:lang w:val="fr-BE"/>
        </w:rPr>
        <w:t xml:space="preserve">. - … mais qui n’a rien perdu de son actualité. </w:t>
      </w:r>
      <w:r w:rsidR="00425751">
        <w:rPr>
          <w:rFonts w:ascii="Times New Roman" w:hAnsi="Times New Roman"/>
          <w:lang w:val="fr-BE"/>
        </w:rPr>
        <w:t>Il est aujourd’hui communément accepté que l’a</w:t>
      </w:r>
      <w:r w:rsidR="00425751" w:rsidRPr="001B0FC3">
        <w:rPr>
          <w:rFonts w:ascii="Times New Roman" w:hAnsi="Times New Roman"/>
          <w:lang w:val="fr-BE"/>
        </w:rPr>
        <w:t>dage « point de nullité sans texte » n’a pas cours en droit civil</w:t>
      </w:r>
      <w:r w:rsidR="00425751" w:rsidRPr="001B0FC3">
        <w:rPr>
          <w:rStyle w:val="Marquenotebasdepage"/>
          <w:rFonts w:ascii="Times New Roman" w:hAnsi="Times New Roman"/>
          <w:lang w:val="fr-BE"/>
        </w:rPr>
        <w:footnoteReference w:id="130"/>
      </w:r>
      <w:r w:rsidR="00425751">
        <w:rPr>
          <w:rFonts w:ascii="Times New Roman" w:hAnsi="Times New Roman"/>
          <w:lang w:val="fr-BE"/>
        </w:rPr>
        <w:t xml:space="preserve">. </w:t>
      </w:r>
      <w:r w:rsidR="00425751" w:rsidRPr="002C65DD">
        <w:rPr>
          <w:rFonts w:ascii="Times New Roman" w:hAnsi="Times New Roman"/>
          <w:lang w:val="fr-BE"/>
        </w:rPr>
        <w:t>P. Van Ommeslaghe relève qu’« il a été reconnu que des nullités peuvent exister alors même que le législateur ne les a pas expressément prévues et qu’il faut dès lors analyser chaque fois le vice dont la convention est atteinte pour déterminer si ce vice doit être sanctionné par une nullité : ce sont les nullités virtuelles »</w:t>
      </w:r>
      <w:r w:rsidR="00425751" w:rsidRPr="001B0FC3">
        <w:rPr>
          <w:rStyle w:val="Marquenotebasdepage"/>
          <w:rFonts w:ascii="Times New Roman" w:hAnsi="Times New Roman"/>
          <w:lang w:val="fr-BE"/>
        </w:rPr>
        <w:footnoteReference w:id="131"/>
      </w:r>
      <w:r w:rsidR="00425751">
        <w:rPr>
          <w:rFonts w:ascii="Times New Roman" w:hAnsi="Times New Roman"/>
          <w:lang w:val="fr-BE"/>
        </w:rPr>
        <w:t xml:space="preserve">. J. Hansenne, pour sa part, confirme le pouvoir d’appréciation qui revient au juge en cas de nullité virtuelle : </w:t>
      </w:r>
      <w:r w:rsidR="00425751" w:rsidRPr="001B0FC3">
        <w:rPr>
          <w:rFonts w:ascii="Times New Roman" w:hAnsi="Times New Roman"/>
          <w:lang w:val="fr-BE"/>
        </w:rPr>
        <w:t>« La loi ne portant généralement pas la sanction de nullité de façon expresse, le juge a un pouvoir assez large pour apprécier si l’importance de la règle, eu égard notamment à l’esprit de la loi, mérite la sanction de la nullité</w:t>
      </w:r>
      <w:r w:rsidR="00425751">
        <w:rPr>
          <w:rFonts w:ascii="Times New Roman" w:hAnsi="Times New Roman"/>
          <w:lang w:val="fr-BE"/>
        </w:rPr>
        <w:t>. Considérant alors la nature de la règle et son but, de même que l’importance des intérêts en cause, le juge déterminera le caractère de cette nullité</w:t>
      </w:r>
      <w:r w:rsidR="00425751" w:rsidRPr="001B0FC3">
        <w:rPr>
          <w:rFonts w:ascii="Times New Roman" w:hAnsi="Times New Roman"/>
          <w:lang w:val="fr-BE"/>
        </w:rPr>
        <w:t> »</w:t>
      </w:r>
      <w:r w:rsidR="00425751">
        <w:rPr>
          <w:rStyle w:val="Marquenotebasdepage"/>
          <w:rFonts w:ascii="Times New Roman" w:hAnsi="Times New Roman"/>
          <w:lang w:val="fr-BE"/>
        </w:rPr>
        <w:footnoteReference w:id="132"/>
      </w:r>
      <w:r w:rsidR="00425751">
        <w:rPr>
          <w:rFonts w:ascii="Times New Roman" w:hAnsi="Times New Roman"/>
          <w:lang w:val="fr-BE"/>
        </w:rPr>
        <w:t xml:space="preserve">. En d’autres termes, la nullité virtuelle rompt le caractère automatique qui unit, traditionnellement, le constat de la violation d’une norme et la sanction de la nullité. Le juge doit, en effet, tenir compte non seulement de la nature et du but </w:t>
      </w:r>
      <w:r w:rsidR="00425751">
        <w:rPr>
          <w:rFonts w:ascii="Times New Roman" w:hAnsi="Times New Roman"/>
          <w:lang w:val="fr-BE"/>
        </w:rPr>
        <w:lastRenderedPageBreak/>
        <w:t>de la règle, mais également du milieu dans lequel elle doit opérer ainsi que des intérêts en cause</w:t>
      </w:r>
      <w:r w:rsidR="00777660" w:rsidRPr="00041EB1">
        <w:rPr>
          <w:rStyle w:val="Marquenotebasdepage"/>
        </w:rPr>
        <w:footnoteReference w:id="133"/>
      </w:r>
      <w:r w:rsidR="00777660">
        <w:rPr>
          <w:rFonts w:ascii="Times New Roman" w:hAnsi="Times New Roman"/>
          <w:lang w:val="fr-BE"/>
        </w:rPr>
        <w:t>.</w:t>
      </w:r>
    </w:p>
    <w:p w14:paraId="5B219DCC" w14:textId="77777777" w:rsidR="00425751" w:rsidRDefault="00425751" w:rsidP="00425751">
      <w:pPr>
        <w:jc w:val="both"/>
        <w:rPr>
          <w:rFonts w:ascii="Times New Roman" w:hAnsi="Times New Roman"/>
          <w:lang w:val="fr-BE"/>
        </w:rPr>
      </w:pPr>
    </w:p>
    <w:p w14:paraId="1E7185E8" w14:textId="4BD4D017" w:rsidR="00670397" w:rsidRDefault="00425751" w:rsidP="00854EC9">
      <w:pPr>
        <w:jc w:val="both"/>
        <w:rPr>
          <w:rFonts w:ascii="Times New Roman" w:hAnsi="Times New Roman"/>
          <w:lang w:val="fr-BE"/>
        </w:rPr>
      </w:pPr>
      <w:r>
        <w:rPr>
          <w:rFonts w:ascii="Times New Roman" w:hAnsi="Times New Roman"/>
          <w:lang w:val="fr-BE"/>
        </w:rPr>
        <w:t xml:space="preserve">Comme le relève P. Wéry, la </w:t>
      </w:r>
      <w:r w:rsidRPr="001B0FC3">
        <w:rPr>
          <w:rFonts w:ascii="Times New Roman" w:hAnsi="Times New Roman"/>
          <w:lang w:val="fr-BE"/>
        </w:rPr>
        <w:t>jurisprudence du fond n’est</w:t>
      </w:r>
      <w:r>
        <w:rPr>
          <w:rFonts w:ascii="Times New Roman" w:hAnsi="Times New Roman"/>
          <w:lang w:val="fr-BE"/>
        </w:rPr>
        <w:t xml:space="preserve"> toutefois</w:t>
      </w:r>
      <w:r w:rsidRPr="001B0FC3">
        <w:rPr>
          <w:rFonts w:ascii="Times New Roman" w:hAnsi="Times New Roman"/>
          <w:lang w:val="fr-BE"/>
        </w:rPr>
        <w:t xml:space="preserve"> pas très abondante sur la question</w:t>
      </w:r>
      <w:r>
        <w:rPr>
          <w:rStyle w:val="Marquenotebasdepage"/>
          <w:rFonts w:ascii="Times New Roman" w:hAnsi="Times New Roman"/>
          <w:lang w:val="fr-BE"/>
        </w:rPr>
        <w:footnoteReference w:id="134"/>
      </w:r>
      <w:r w:rsidR="00854EC9">
        <w:rPr>
          <w:rFonts w:ascii="Times New Roman" w:hAnsi="Times New Roman"/>
          <w:lang w:val="fr-BE"/>
        </w:rPr>
        <w:t xml:space="preserve"> et un des rares arrêts de la Cour de cassation à faire une application implicite de cette distinction est celui rendu le 26 mai 2006 sur</w:t>
      </w:r>
      <w:r>
        <w:rPr>
          <w:rFonts w:ascii="Times New Roman" w:hAnsi="Times New Roman"/>
          <w:lang w:val="fr-BE"/>
        </w:rPr>
        <w:t xml:space="preserve"> la nullité d’un contrat en raison du non respect de certaines formalités prévues par la </w:t>
      </w:r>
      <w:r w:rsidRPr="008F33C7">
        <w:rPr>
          <w:rFonts w:ascii="Times New Roman" w:hAnsi="Times New Roman"/>
          <w:lang w:val="fr-BE"/>
        </w:rPr>
        <w:t>loi du 16 février 1994 régissant le contrat d'organisation de voyages et le contrat d'intermédiaire de voyages</w:t>
      </w:r>
      <w:r w:rsidR="00854EC9">
        <w:rPr>
          <w:rFonts w:ascii="Times New Roman" w:hAnsi="Times New Roman"/>
          <w:lang w:val="fr-BE"/>
        </w:rPr>
        <w:t xml:space="preserve">, dans lequel la cour a estimé que le non respect des formalités prévues par cette loi pouvait entraîner une nullité, à apprécier </w:t>
      </w:r>
      <w:r w:rsidR="00854EC9" w:rsidRPr="008F33C7">
        <w:rPr>
          <w:rFonts w:ascii="Times New Roman" w:hAnsi="Times New Roman"/>
          <w:lang w:val="fr-BE"/>
        </w:rPr>
        <w:t xml:space="preserve">selon la </w:t>
      </w:r>
      <w:r w:rsidR="00854EC9" w:rsidRPr="00854EC9">
        <w:rPr>
          <w:rFonts w:ascii="Times New Roman" w:hAnsi="Times New Roman"/>
          <w:lang w:val="fr-BE"/>
        </w:rPr>
        <w:t>gravité de l'atteinte</w:t>
      </w:r>
      <w:r w:rsidR="00854EC9" w:rsidRPr="008F33C7">
        <w:rPr>
          <w:rFonts w:ascii="Times New Roman" w:hAnsi="Times New Roman"/>
          <w:lang w:val="fr-BE"/>
        </w:rPr>
        <w:t xml:space="preserve"> portée </w:t>
      </w:r>
      <w:r w:rsidR="00854EC9">
        <w:rPr>
          <w:rFonts w:ascii="Times New Roman" w:hAnsi="Times New Roman"/>
          <w:lang w:val="fr-BE"/>
        </w:rPr>
        <w:t>aux</w:t>
      </w:r>
      <w:r w:rsidR="00854EC9" w:rsidRPr="008F33C7">
        <w:rPr>
          <w:rFonts w:ascii="Times New Roman" w:hAnsi="Times New Roman"/>
          <w:lang w:val="fr-BE"/>
        </w:rPr>
        <w:t xml:space="preserve"> intérêts</w:t>
      </w:r>
      <w:r w:rsidR="00854EC9">
        <w:rPr>
          <w:rFonts w:ascii="Times New Roman" w:hAnsi="Times New Roman"/>
          <w:lang w:val="fr-BE"/>
        </w:rPr>
        <w:t> protégés</w:t>
      </w:r>
      <w:r w:rsidR="00854EC9">
        <w:rPr>
          <w:rStyle w:val="Marquenotebasdepage"/>
          <w:rFonts w:ascii="Times New Roman" w:hAnsi="Times New Roman"/>
          <w:lang w:val="fr-BE"/>
        </w:rPr>
        <w:footnoteReference w:id="135"/>
      </w:r>
      <w:r>
        <w:rPr>
          <w:rFonts w:ascii="Times New Roman" w:hAnsi="Times New Roman"/>
          <w:lang w:val="fr-BE"/>
        </w:rPr>
        <w:t xml:space="preserve">. </w:t>
      </w:r>
      <w:r w:rsidR="00854EC9">
        <w:rPr>
          <w:rFonts w:ascii="Times New Roman" w:hAnsi="Times New Roman"/>
          <w:lang w:val="fr-BE"/>
        </w:rPr>
        <w:t xml:space="preserve">Selon P. Wéry, l’enseignement de cet arrêt </w:t>
      </w:r>
      <w:r w:rsidR="00854EC9">
        <w:rPr>
          <w:rFonts w:ascii="Times New Roman" w:hAnsi="Times New Roman"/>
          <w:b/>
          <w:lang w:val="fr-BE"/>
        </w:rPr>
        <w:t>« </w:t>
      </w:r>
      <w:r w:rsidR="00670397" w:rsidRPr="00670397">
        <w:rPr>
          <w:rFonts w:ascii="Times New Roman" w:hAnsi="Times New Roman"/>
          <w:lang w:val="fr-BE"/>
        </w:rPr>
        <w:t>peut être étendu aux nullités virtuelles résultant de la transgression d’autres lois particulières impératives : le juge, qui est saisi d’une telle demande de nullité, est tenu d’apprécier la gravité de l’atteinte portée aux intérêts de la partie faible que le législateur prend sous sa protection »</w:t>
      </w:r>
      <w:r w:rsidR="00670397" w:rsidRPr="00670397">
        <w:rPr>
          <w:rFonts w:ascii="Times New Roman" w:eastAsia="Times New Roman"/>
          <w:vertAlign w:val="superscript"/>
        </w:rPr>
        <w:footnoteReference w:id="136"/>
      </w:r>
      <w:r w:rsidR="00854EC9">
        <w:rPr>
          <w:rFonts w:ascii="Times New Roman" w:hAnsi="Times New Roman"/>
          <w:lang w:val="fr-BE"/>
        </w:rPr>
        <w:t>.</w:t>
      </w:r>
      <w:r w:rsidR="008C6674">
        <w:rPr>
          <w:rFonts w:ascii="Times New Roman" w:hAnsi="Times New Roman"/>
          <w:lang w:val="fr-BE"/>
        </w:rPr>
        <w:t xml:space="preserve"> Nous verrons cependant </w:t>
      </w:r>
      <w:r w:rsidR="00BD1891">
        <w:rPr>
          <w:rFonts w:ascii="Times New Roman" w:hAnsi="Times New Roman"/>
          <w:lang w:val="fr-BE"/>
        </w:rPr>
        <w:t xml:space="preserve">pourquoi </w:t>
      </w:r>
      <w:r w:rsidR="008C6674">
        <w:rPr>
          <w:rFonts w:ascii="Times New Roman" w:hAnsi="Times New Roman"/>
          <w:lang w:val="fr-BE"/>
        </w:rPr>
        <w:t>il ne nous paraît pas justifié de limiter cette extension aux lois impératives.</w:t>
      </w:r>
    </w:p>
    <w:p w14:paraId="082854D2" w14:textId="77777777" w:rsidR="000523BA" w:rsidRDefault="000523BA" w:rsidP="00854EC9">
      <w:pPr>
        <w:jc w:val="both"/>
        <w:rPr>
          <w:rFonts w:ascii="Times New Roman" w:hAnsi="Times New Roman"/>
          <w:lang w:val="fr-BE"/>
        </w:rPr>
      </w:pPr>
    </w:p>
    <w:p w14:paraId="4116109C" w14:textId="0687FF80" w:rsidR="008C6674" w:rsidRPr="00231CF5" w:rsidRDefault="008C6674" w:rsidP="008C6674">
      <w:pPr>
        <w:jc w:val="both"/>
        <w:rPr>
          <w:rFonts w:ascii="Times New Roman" w:hAnsi="Times New Roman"/>
          <w:lang w:val="fr-BE"/>
        </w:rPr>
      </w:pPr>
      <w:r>
        <w:rPr>
          <w:rFonts w:ascii="Times New Roman" w:hAnsi="Times New Roman"/>
          <w:lang w:val="fr-BE"/>
        </w:rPr>
        <w:t>Curieusement, le fait que plusieurs règles du Code civil relatives à la formation des contrats ne précisent pas la sanction qui résulte de leur violation n’a guère retenu l’attention doctrinale. La question n’est, pourtant, pas anodine dès lors que, en l’absence de nullité textuelle, le juge dispose d’un réel pouvoir d’appréciation en ce qui concerne la sanction qu’il convient d’adopter.</w:t>
      </w:r>
    </w:p>
    <w:p w14:paraId="2504B810" w14:textId="77777777" w:rsidR="008C6674" w:rsidRDefault="008C6674" w:rsidP="00854EC9">
      <w:pPr>
        <w:jc w:val="both"/>
        <w:rPr>
          <w:rFonts w:ascii="Times New Roman" w:hAnsi="Times New Roman"/>
          <w:lang w:val="fr-BE"/>
        </w:rPr>
      </w:pPr>
    </w:p>
    <w:p w14:paraId="0E4AACEC" w14:textId="36B1E68A" w:rsidR="000523BA" w:rsidRPr="00341339" w:rsidRDefault="00445CB4" w:rsidP="00854EC9">
      <w:pPr>
        <w:jc w:val="both"/>
        <w:rPr>
          <w:rFonts w:ascii="Times New Roman" w:hAnsi="Times New Roman"/>
          <w:i/>
          <w:lang w:val="fr-BE"/>
        </w:rPr>
      </w:pPr>
      <w:r w:rsidRPr="00341339">
        <w:rPr>
          <w:rFonts w:ascii="Times New Roman" w:hAnsi="Times New Roman"/>
          <w:i/>
          <w:lang w:val="fr-BE"/>
        </w:rPr>
        <w:t>§2</w:t>
      </w:r>
      <w:r w:rsidR="000523BA" w:rsidRPr="00341339">
        <w:rPr>
          <w:rFonts w:ascii="Times New Roman" w:hAnsi="Times New Roman"/>
          <w:i/>
          <w:lang w:val="fr-BE"/>
        </w:rPr>
        <w:t>. Les nullités virtuelles du Code civil</w:t>
      </w:r>
    </w:p>
    <w:p w14:paraId="2B71A30B" w14:textId="77777777" w:rsidR="00425751" w:rsidRDefault="00425751" w:rsidP="00425751">
      <w:pPr>
        <w:jc w:val="both"/>
        <w:rPr>
          <w:rFonts w:ascii="Times New Roman" w:hAnsi="Times New Roman"/>
          <w:lang w:val="fr-BE"/>
        </w:rPr>
      </w:pPr>
    </w:p>
    <w:p w14:paraId="5F26E535" w14:textId="064A655C" w:rsidR="00107B33" w:rsidRDefault="00341339" w:rsidP="00425751">
      <w:pPr>
        <w:jc w:val="both"/>
      </w:pPr>
      <w:r>
        <w:rPr>
          <w:b/>
        </w:rPr>
        <w:t>3</w:t>
      </w:r>
      <w:r w:rsidR="003F06AA">
        <w:rPr>
          <w:b/>
        </w:rPr>
        <w:t>3</w:t>
      </w:r>
      <w:r w:rsidR="008C6674" w:rsidRPr="008C6674">
        <w:rPr>
          <w:b/>
        </w:rPr>
        <w:t>. - L’ordre public et les nullités virtuelles.</w:t>
      </w:r>
      <w:r w:rsidR="008C6674">
        <w:t xml:space="preserve"> </w:t>
      </w:r>
      <w:r w:rsidR="00BD1891">
        <w:t>L</w:t>
      </w:r>
      <w:r w:rsidR="00425751">
        <w:t>’article 6 du Code civil interdit de déroger, « </w:t>
      </w:r>
      <w:r w:rsidR="00425751" w:rsidRPr="00E423FA">
        <w:t>par des conventions particulières, aux lois qui intéressent l</w:t>
      </w:r>
      <w:r w:rsidR="00425751">
        <w:t>’</w:t>
      </w:r>
      <w:r w:rsidR="00425751" w:rsidRPr="00E423FA">
        <w:t>or</w:t>
      </w:r>
      <w:r w:rsidR="00425751">
        <w:t>dre public et les bonnes mœurs ». On cherche en vain, cependant, la sanction qui doit frapper la convention scélérate. Il nous paraît difficile, dès lors, de considérer que la nullité extraite de ce texte serait autre que simplement virtuelle</w:t>
      </w:r>
      <w:r w:rsidR="00425751">
        <w:rPr>
          <w:rStyle w:val="Marquenotebasdepage"/>
        </w:rPr>
        <w:footnoteReference w:id="137"/>
      </w:r>
      <w:r w:rsidR="00425751">
        <w:t>. Il sera objecté que l’atteinte à l’ordre public doit nécessairement être sanctionnée par une nullité absolue. Il s’agit cependant d’une pétition de principe</w:t>
      </w:r>
      <w:r w:rsidR="00107B33">
        <w:t xml:space="preserve"> et plusieurs arguments militent contre ce</w:t>
      </w:r>
      <w:r w:rsidR="00BD1891">
        <w:t xml:space="preserve"> raccourci</w:t>
      </w:r>
      <w:r w:rsidR="00107B33">
        <w:t xml:space="preserve">. </w:t>
      </w:r>
    </w:p>
    <w:p w14:paraId="51018361" w14:textId="77777777" w:rsidR="00107B33" w:rsidRDefault="00107B33" w:rsidP="00425751">
      <w:pPr>
        <w:jc w:val="both"/>
      </w:pPr>
    </w:p>
    <w:p w14:paraId="63DA195A" w14:textId="1C3BCAB1" w:rsidR="00703A03" w:rsidRPr="00F00057" w:rsidRDefault="00107B33" w:rsidP="00703A03">
      <w:pPr>
        <w:jc w:val="both"/>
      </w:pPr>
      <w:r>
        <w:t xml:space="preserve">Tout d’abord, comme le relèvent plusieurs auteurs, </w:t>
      </w:r>
      <w:r w:rsidRPr="00107B33">
        <w:t>nullité absolue et ordre public ne coïncident pas nécessairement</w:t>
      </w:r>
      <w:r>
        <w:t xml:space="preserve"> : </w:t>
      </w:r>
      <w:r w:rsidRPr="00107B33">
        <w:t xml:space="preserve">les règles relatives aux incapacités sont d’ordre public alors </w:t>
      </w:r>
      <w:r w:rsidRPr="00107B33">
        <w:lastRenderedPageBreak/>
        <w:t>que leur sanction c</w:t>
      </w:r>
      <w:r>
        <w:t>onsiste en une nullité relative</w:t>
      </w:r>
      <w:r w:rsidR="00425751">
        <w:rPr>
          <w:rStyle w:val="Marquenotebasdepage"/>
          <w:rFonts w:ascii="Times New Roman" w:hAnsi="Times New Roman"/>
          <w:lang w:val="fr-BE"/>
        </w:rPr>
        <w:footnoteReference w:id="138"/>
      </w:r>
      <w:r w:rsidR="00425751">
        <w:t>.</w:t>
      </w:r>
      <w:r w:rsidR="00703A03">
        <w:t xml:space="preserve"> De même, certaines dispositions en droit social permettent de sauver un contrat de travail pourtant atteint d’une cause de nullité absolue</w:t>
      </w:r>
      <w:r w:rsidR="00703A03">
        <w:rPr>
          <w:rStyle w:val="Marquenotebasdepage"/>
        </w:rPr>
        <w:footnoteReference w:id="139"/>
      </w:r>
      <w:r w:rsidR="00703A03">
        <w:t xml:space="preserve">. </w:t>
      </w:r>
      <w:r w:rsidR="00D44696">
        <w:t>En matière de marchés publics</w:t>
      </w:r>
      <w:r w:rsidR="00BD1891">
        <w:t xml:space="preserve"> atteignant le seuil européen</w:t>
      </w:r>
      <w:r w:rsidR="00D44696">
        <w:t xml:space="preserve">, </w:t>
      </w:r>
      <w:r w:rsidR="00F00057">
        <w:t xml:space="preserve">le juge a, </w:t>
      </w:r>
      <w:r w:rsidR="00D44696">
        <w:t>même lorsque les conditions d’application de la sanction d’absence d’effets, qui équivaut à une nullité, sont réunies, la faculté de prononcer des sanctions</w:t>
      </w:r>
      <w:r w:rsidR="00F00057">
        <w:t xml:space="preserve"> de « substitution » lorsqu’il constate « que des raisons impérieuses d'intérêt général imposent que les effets du marché soient maintenus »</w:t>
      </w:r>
      <w:r w:rsidR="00F00057">
        <w:rPr>
          <w:rStyle w:val="Marquenotebasdepage"/>
        </w:rPr>
        <w:footnoteReference w:id="140"/>
      </w:r>
      <w:r w:rsidR="008C6674">
        <w:t xml:space="preserve"> et ce, alors même que les dispositions violées sont d’ordre public.</w:t>
      </w:r>
    </w:p>
    <w:p w14:paraId="30D8CF96" w14:textId="77777777" w:rsidR="00425751" w:rsidRDefault="00425751" w:rsidP="00425751">
      <w:pPr>
        <w:jc w:val="both"/>
      </w:pPr>
    </w:p>
    <w:p w14:paraId="048BDA85" w14:textId="2B77D6A3" w:rsidR="00107B33" w:rsidRDefault="00107B33" w:rsidP="008C6674">
      <w:pPr>
        <w:jc w:val="both"/>
        <w:rPr>
          <w:lang w:val="nl-NL"/>
        </w:rPr>
      </w:pPr>
      <w:r>
        <w:t xml:space="preserve">Ensuite, la </w:t>
      </w:r>
      <w:r w:rsidRPr="00107B33">
        <w:rPr>
          <w:lang w:val="nl-NL"/>
        </w:rPr>
        <w:t xml:space="preserve">violation de l’ordre public par une convention n’impose pas sa nullité lorsqu’il est possible de </w:t>
      </w:r>
      <w:r w:rsidR="008C6674">
        <w:rPr>
          <w:lang w:val="nl-NL"/>
        </w:rPr>
        <w:t xml:space="preserve">recourir aux techniques alternatives dégagées par la jurisprudence qui, comme la conversion, permettent de la </w:t>
      </w:r>
      <w:r w:rsidRPr="00107B33">
        <w:rPr>
          <w:lang w:val="nl-NL"/>
        </w:rPr>
        <w:t>rendre licite</w:t>
      </w:r>
      <w:r>
        <w:rPr>
          <w:rStyle w:val="Marquenotebasdepage"/>
          <w:lang w:val="nl-NL"/>
        </w:rPr>
        <w:footnoteReference w:id="141"/>
      </w:r>
      <w:r>
        <w:rPr>
          <w:lang w:val="nl-NL"/>
        </w:rPr>
        <w:t>.</w:t>
      </w:r>
    </w:p>
    <w:p w14:paraId="01908417" w14:textId="39F271AB" w:rsidR="000523BA" w:rsidRDefault="00107B33" w:rsidP="00425751">
      <w:pPr>
        <w:jc w:val="both"/>
        <w:rPr>
          <w:lang w:val="nl-NL"/>
        </w:rPr>
      </w:pPr>
      <w:r>
        <w:rPr>
          <w:lang w:val="nl-NL"/>
        </w:rPr>
        <w:t xml:space="preserve"> </w:t>
      </w:r>
    </w:p>
    <w:p w14:paraId="1D5A118A" w14:textId="6E1B4AF5" w:rsidR="00215CEE" w:rsidRDefault="000523BA" w:rsidP="0038410C">
      <w:pPr>
        <w:jc w:val="both"/>
        <w:rPr>
          <w:lang w:val="nl-NL"/>
        </w:rPr>
      </w:pPr>
      <w:r>
        <w:rPr>
          <w:lang w:val="nl-NL"/>
        </w:rPr>
        <w:t xml:space="preserve">Enfin, </w:t>
      </w:r>
      <w:r w:rsidR="00107B33">
        <w:rPr>
          <w:lang w:val="nl-NL"/>
        </w:rPr>
        <w:t>on l’a vu, le juge ne sera pas tenu de prononcer la nullité d’une convention si cette sanction est demandée par une p</w:t>
      </w:r>
      <w:r>
        <w:rPr>
          <w:lang w:val="nl-NL"/>
        </w:rPr>
        <w:t>artie au contrat qui abuse manifestement de son droit de demander la nullité et ce, alors même qu’il s’agirait d’une nullité absolue</w:t>
      </w:r>
      <w:r>
        <w:rPr>
          <w:rStyle w:val="Marquenotebasdepage"/>
          <w:lang w:val="nl-NL"/>
        </w:rPr>
        <w:footnoteReference w:id="142"/>
      </w:r>
      <w:r>
        <w:rPr>
          <w:lang w:val="nl-NL"/>
        </w:rPr>
        <w:t>. Comment comprendre cette solution si la violation de l’ordre public impose, en toute circonstance, la sanction de la nullité absolue</w:t>
      </w:r>
      <w:r w:rsidR="00B50269">
        <w:rPr>
          <w:lang w:val="nl-NL"/>
        </w:rPr>
        <w:t xml:space="preserve"> </w:t>
      </w:r>
      <w:r>
        <w:rPr>
          <w:lang w:val="nl-NL"/>
        </w:rPr>
        <w:t>?</w:t>
      </w:r>
      <w:r w:rsidR="00B50269">
        <w:rPr>
          <w:lang w:val="nl-NL"/>
        </w:rPr>
        <w:t xml:space="preserve"> Ne serait-il pas curieux de considérer que</w:t>
      </w:r>
      <w:r w:rsidR="00AE12B0">
        <w:rPr>
          <w:lang w:val="nl-NL"/>
        </w:rPr>
        <w:t xml:space="preserve"> le juge </w:t>
      </w:r>
      <w:r w:rsidR="0038410C" w:rsidRPr="0038410C">
        <w:rPr>
          <w:i/>
          <w:lang w:val="nl-NL"/>
        </w:rPr>
        <w:t>doit</w:t>
      </w:r>
      <w:r w:rsidR="00AE12B0">
        <w:rPr>
          <w:lang w:val="nl-NL"/>
        </w:rPr>
        <w:t xml:space="preserve"> constater la nullité absolue </w:t>
      </w:r>
      <w:r w:rsidR="00C23D69">
        <w:rPr>
          <w:lang w:val="nl-NL"/>
        </w:rPr>
        <w:t xml:space="preserve">à défaut de demande en ce sens (et </w:t>
      </w:r>
      <w:r w:rsidR="0038410C">
        <w:rPr>
          <w:lang w:val="nl-NL"/>
        </w:rPr>
        <w:t>même dans l’hypothèse où</w:t>
      </w:r>
      <w:r w:rsidR="0038410C" w:rsidRPr="0038410C">
        <w:rPr>
          <w:lang w:val="nl-NL"/>
        </w:rPr>
        <w:t xml:space="preserve"> le préjudice </w:t>
      </w:r>
      <w:r w:rsidR="0038410C">
        <w:rPr>
          <w:lang w:val="nl-NL"/>
        </w:rPr>
        <w:t xml:space="preserve">qui en résulterait pour une partie serait </w:t>
      </w:r>
      <w:r w:rsidR="0038410C" w:rsidRPr="0038410C">
        <w:rPr>
          <w:lang w:val="nl-NL"/>
        </w:rPr>
        <w:t>sans proportion avec l'avantage obtenu par l</w:t>
      </w:r>
      <w:r w:rsidR="0038410C">
        <w:rPr>
          <w:lang w:val="nl-NL"/>
        </w:rPr>
        <w:t>’autre</w:t>
      </w:r>
      <w:r w:rsidR="00C23D69">
        <w:rPr>
          <w:lang w:val="nl-NL"/>
        </w:rPr>
        <w:t xml:space="preserve">) mais </w:t>
      </w:r>
      <w:r w:rsidR="0038410C" w:rsidRPr="0038410C">
        <w:rPr>
          <w:i/>
          <w:lang w:val="nl-NL"/>
        </w:rPr>
        <w:t>peut</w:t>
      </w:r>
      <w:r w:rsidR="00C23D69">
        <w:rPr>
          <w:lang w:val="nl-NL"/>
        </w:rPr>
        <w:t xml:space="preserve"> refuser de déclarer la convention nulle, alors même qu’elle violerait l’ordre public, dès lors que cette demande est abusive</w:t>
      </w:r>
      <w:r w:rsidR="0038410C">
        <w:rPr>
          <w:lang w:val="nl-NL"/>
        </w:rPr>
        <w:t xml:space="preserve"> </w:t>
      </w:r>
      <w:r w:rsidR="00C23D69">
        <w:rPr>
          <w:lang w:val="nl-NL"/>
        </w:rPr>
        <w:t>?</w:t>
      </w:r>
      <w:r w:rsidR="00215CEE">
        <w:rPr>
          <w:lang w:val="nl-NL"/>
        </w:rPr>
        <w:t xml:space="preserve"> </w:t>
      </w:r>
    </w:p>
    <w:p w14:paraId="271963E0" w14:textId="77777777" w:rsidR="00215CEE" w:rsidRDefault="00215CEE" w:rsidP="0038410C">
      <w:pPr>
        <w:jc w:val="both"/>
        <w:rPr>
          <w:lang w:val="nl-NL"/>
        </w:rPr>
      </w:pPr>
    </w:p>
    <w:p w14:paraId="2BF1C807" w14:textId="01EAC773" w:rsidR="00B50269" w:rsidRDefault="00215CEE" w:rsidP="0038410C">
      <w:pPr>
        <w:jc w:val="both"/>
        <w:rPr>
          <w:lang w:val="nl-NL"/>
        </w:rPr>
      </w:pPr>
      <w:r>
        <w:rPr>
          <w:lang w:val="nl-NL"/>
        </w:rPr>
        <w:t>Ce que montre en tout cas la jurisprudence précitée de la Cour de cassation relative à l’abus de droit, c’est qu’un principe général du droit peut faire échec à la sanction de la nullité absolue. Or, dans les situations dénoncées plus haut, le</w:t>
      </w:r>
      <w:r w:rsidR="00DB5277">
        <w:rPr>
          <w:lang w:val="nl-NL"/>
        </w:rPr>
        <w:t>s</w:t>
      </w:r>
      <w:r>
        <w:rPr>
          <w:lang w:val="nl-NL"/>
        </w:rPr>
        <w:t xml:space="preserve"> principe</w:t>
      </w:r>
      <w:r w:rsidR="00DB5277">
        <w:rPr>
          <w:lang w:val="nl-NL"/>
        </w:rPr>
        <w:t>s</w:t>
      </w:r>
      <w:r>
        <w:rPr>
          <w:lang w:val="nl-NL"/>
        </w:rPr>
        <w:t xml:space="preserve"> de sécurité juridique</w:t>
      </w:r>
      <w:r w:rsidR="00DB5277">
        <w:rPr>
          <w:lang w:val="nl-NL"/>
        </w:rPr>
        <w:t xml:space="preserve"> et, surtout,</w:t>
      </w:r>
      <w:r>
        <w:rPr>
          <w:lang w:val="nl-NL"/>
        </w:rPr>
        <w:t xml:space="preserve"> de confiance légitime n’impose</w:t>
      </w:r>
      <w:r w:rsidR="00DB5277">
        <w:rPr>
          <w:lang w:val="nl-NL"/>
        </w:rPr>
        <w:t>nt</w:t>
      </w:r>
      <w:r>
        <w:rPr>
          <w:lang w:val="nl-NL"/>
        </w:rPr>
        <w:t>-t-il</w:t>
      </w:r>
      <w:r w:rsidR="00DB5277">
        <w:rPr>
          <w:lang w:val="nl-NL"/>
        </w:rPr>
        <w:t>s</w:t>
      </w:r>
      <w:r>
        <w:rPr>
          <w:lang w:val="nl-NL"/>
        </w:rPr>
        <w:t xml:space="preserve"> pas la même conclusion</w:t>
      </w:r>
      <w:r>
        <w:rPr>
          <w:rStyle w:val="Marquenotebasdepage"/>
          <w:lang w:val="nl-NL"/>
        </w:rPr>
        <w:footnoteReference w:id="143"/>
      </w:r>
      <w:r>
        <w:rPr>
          <w:lang w:val="nl-NL"/>
        </w:rPr>
        <w:t>?</w:t>
      </w:r>
      <w:r w:rsidR="00C44A89">
        <w:rPr>
          <w:lang w:val="nl-NL"/>
        </w:rPr>
        <w:t xml:space="preserve"> </w:t>
      </w:r>
    </w:p>
    <w:p w14:paraId="7CFBC822" w14:textId="77777777" w:rsidR="0038410C" w:rsidRDefault="0038410C" w:rsidP="00B50269">
      <w:pPr>
        <w:jc w:val="both"/>
        <w:rPr>
          <w:lang w:val="nl-NL"/>
        </w:rPr>
      </w:pPr>
    </w:p>
    <w:p w14:paraId="39F556AE" w14:textId="3CCDDB47" w:rsidR="00425751" w:rsidRDefault="00341339" w:rsidP="00425751">
      <w:pPr>
        <w:jc w:val="both"/>
      </w:pPr>
      <w:r>
        <w:rPr>
          <w:b/>
        </w:rPr>
        <w:t>3</w:t>
      </w:r>
      <w:r w:rsidR="003F06AA">
        <w:rPr>
          <w:b/>
        </w:rPr>
        <w:t>4</w:t>
      </w:r>
      <w:r w:rsidR="00C44A89" w:rsidRPr="001C7197">
        <w:rPr>
          <w:b/>
        </w:rPr>
        <w:t xml:space="preserve">. – Les quatre conditions de validité des contrats. </w:t>
      </w:r>
      <w:r w:rsidR="00425751">
        <w:t>Lorsque l’on examine les conditions de validité du contrat</w:t>
      </w:r>
      <w:r w:rsidR="00C44A89">
        <w:t xml:space="preserve"> visées à l’article 1108 du Code civil</w:t>
      </w:r>
      <w:r w:rsidR="00425751">
        <w:t>, on constate que seules les dispositions relatives au consentement peuvent être qualifiées de nullités textuelles</w:t>
      </w:r>
      <w:r w:rsidR="00C44A89">
        <w:rPr>
          <w:rStyle w:val="Marquenotebasdepage"/>
        </w:rPr>
        <w:footnoteReference w:id="144"/>
      </w:r>
      <w:r w:rsidR="00425751">
        <w:t xml:space="preserve">. </w:t>
      </w:r>
      <w:r w:rsidR="00C44A89">
        <w:t>I</w:t>
      </w:r>
      <w:r w:rsidR="00425751">
        <w:t>l n’est toutefois pas contesté qu</w:t>
      </w:r>
      <w:r w:rsidR="00C44A89">
        <w:t>e ces nullités</w:t>
      </w:r>
      <w:r w:rsidR="00425751">
        <w:t xml:space="preserve"> sont relatives dès lors qu’elles accompagnent des règles qui protègent essentiellement des intérêts privés. La partie dont les intérêts sont protégés peut donc renoncer à se prévaloir d’une telle nullité.  </w:t>
      </w:r>
    </w:p>
    <w:p w14:paraId="140B1387" w14:textId="77777777" w:rsidR="00425751" w:rsidRPr="00E423FA" w:rsidRDefault="00425751" w:rsidP="00425751">
      <w:pPr>
        <w:jc w:val="both"/>
      </w:pPr>
    </w:p>
    <w:p w14:paraId="07F8CC02" w14:textId="3580C37D" w:rsidR="00425751" w:rsidRDefault="00341339" w:rsidP="00C44A89">
      <w:pPr>
        <w:jc w:val="both"/>
      </w:pPr>
      <w:r>
        <w:rPr>
          <w:b/>
        </w:rPr>
        <w:t>3</w:t>
      </w:r>
      <w:r w:rsidR="003F06AA">
        <w:rPr>
          <w:b/>
        </w:rPr>
        <w:t>5</w:t>
      </w:r>
      <w:r w:rsidR="001C7197" w:rsidRPr="001C7197">
        <w:rPr>
          <w:b/>
        </w:rPr>
        <w:t xml:space="preserve">. – La cause illicite. </w:t>
      </w:r>
      <w:r w:rsidR="00425751">
        <w:t>L’article 1131 du Code civil dispose que l’</w:t>
      </w:r>
      <w:r w:rsidR="00425751" w:rsidRPr="00E423FA">
        <w:t>obligatio</w:t>
      </w:r>
      <w:r w:rsidR="00425751">
        <w:t>n sans cause ou qui repose sur une cause fausse ou illicite « n</w:t>
      </w:r>
      <w:r w:rsidR="00425751" w:rsidRPr="00E423FA">
        <w:t>e peut avoir aucun effet</w:t>
      </w:r>
      <w:r w:rsidR="00425751">
        <w:t xml:space="preserve"> ». On pourrait sans doute </w:t>
      </w:r>
      <w:r w:rsidR="00DB5277">
        <w:t>discuter</w:t>
      </w:r>
      <w:r w:rsidR="00425751">
        <w:t xml:space="preserve"> sur la signification de ces termes mais il n’est pas déraisonnable de les interpréter </w:t>
      </w:r>
      <w:r w:rsidR="00425751">
        <w:lastRenderedPageBreak/>
        <w:t>comme consacrant une nullité textuelle</w:t>
      </w:r>
      <w:r w:rsidR="004E5B40">
        <w:rPr>
          <w:rStyle w:val="Marquenotebasdepage"/>
        </w:rPr>
        <w:footnoteReference w:id="145"/>
      </w:r>
      <w:r w:rsidR="00425751">
        <w:t xml:space="preserve">. </w:t>
      </w:r>
      <w:r w:rsidR="00425751" w:rsidRPr="00C44A89">
        <w:t>Il faudrait encore préciser que si la cause est contraire à une loi impérative, la nullité ne sera, logiquement, que relative. L’article 1133 du Code civil, en effet, précise que la cause illicite est celle qui est contraire aux bonnes moeurs ou à l'ordre public mais également celle qui est prohibée par la loi.</w:t>
      </w:r>
      <w:r w:rsidR="00425751">
        <w:t xml:space="preserve"> Quoiqu’il en soit, </w:t>
      </w:r>
      <w:r w:rsidR="00C44A89">
        <w:t xml:space="preserve">on pourrait considérer </w:t>
      </w:r>
      <w:r w:rsidR="00425751">
        <w:t xml:space="preserve">que le juge ne dispose pas, en cas de cause illicite, de la même marge d’appréciation qu’en cas de nullité virtuelle et qu’il doit prononcer la nullité, si une partie lui demande, ou constater celle-ci, dans le cas contraire (si la cause est illicite en raison de sa contrariété à l’ordre public). </w:t>
      </w:r>
    </w:p>
    <w:p w14:paraId="6EB71169" w14:textId="77777777" w:rsidR="00425751" w:rsidRDefault="00425751" w:rsidP="00425751">
      <w:pPr>
        <w:jc w:val="both"/>
      </w:pPr>
    </w:p>
    <w:p w14:paraId="0023DB31" w14:textId="67F7BECF" w:rsidR="00425751" w:rsidRDefault="00341339" w:rsidP="00425751">
      <w:pPr>
        <w:jc w:val="both"/>
        <w:rPr>
          <w:rFonts w:ascii="Times New Roman" w:hAnsi="Times New Roman"/>
          <w:lang w:val="fr-BE"/>
        </w:rPr>
      </w:pPr>
      <w:r>
        <w:rPr>
          <w:b/>
        </w:rPr>
        <w:t>3</w:t>
      </w:r>
      <w:r w:rsidR="003F06AA">
        <w:rPr>
          <w:b/>
        </w:rPr>
        <w:t>6</w:t>
      </w:r>
      <w:r w:rsidR="001C7197" w:rsidRPr="001C7197">
        <w:rPr>
          <w:b/>
        </w:rPr>
        <w:t xml:space="preserve">. – L’objet illicite. </w:t>
      </w:r>
      <w:r w:rsidR="00425751">
        <w:t>En revanche, si on examine les dispositions du Code civil relatives à l’objet du contrat, force est de constater qu’elles se contentent d’indiquer ce qui peut, ou non, faire l’objet d’une obligation et demeurent, pour le moins, discrètes en ce qui concerne les sanctions. La seule disposition qui peut nous être utile à cet égard est l’article 1128 qui stipule que seules «</w:t>
      </w:r>
      <w:r w:rsidR="00425751" w:rsidRPr="00E423FA">
        <w:t xml:space="preserve"> les choses qui sont dans le commerce</w:t>
      </w:r>
      <w:r w:rsidR="00425751">
        <w:t> »</w:t>
      </w:r>
      <w:r w:rsidR="00425751" w:rsidRPr="00E423FA">
        <w:t xml:space="preserve"> </w:t>
      </w:r>
      <w:r w:rsidR="00425751">
        <w:t>peuvent</w:t>
      </w:r>
      <w:r w:rsidR="00425751" w:rsidRPr="00E423FA">
        <w:t xml:space="preserve"> </w:t>
      </w:r>
      <w:r w:rsidR="00425751">
        <w:t>« </w:t>
      </w:r>
      <w:r w:rsidR="00425751" w:rsidRPr="00E423FA">
        <w:t>être l'objet des conventions</w:t>
      </w:r>
      <w:r w:rsidR="00425751">
        <w:t xml:space="preserve"> », de sorte que plusieurs auteurs y voient la base légale de l’exigence selon laquelle, </w:t>
      </w:r>
      <w:r w:rsidR="00425751">
        <w:rPr>
          <w:rFonts w:ascii="Times New Roman" w:hAnsi="Times New Roman"/>
          <w:lang w:val="fr-BE"/>
        </w:rPr>
        <w:t>pour que l’obligation soit valable, il faut que son objet soit licite</w:t>
      </w:r>
      <w:r w:rsidR="00425751">
        <w:rPr>
          <w:rStyle w:val="Marquenotebasdepage"/>
          <w:rFonts w:ascii="Times New Roman" w:hAnsi="Times New Roman"/>
          <w:lang w:val="fr-BE"/>
        </w:rPr>
        <w:footnoteReference w:id="146"/>
      </w:r>
      <w:r w:rsidR="00425751">
        <w:t>.</w:t>
      </w:r>
      <w:r w:rsidR="00425751" w:rsidRPr="00BA66DF">
        <w:rPr>
          <w:rFonts w:ascii="Times New Roman" w:hAnsi="Times New Roman"/>
          <w:lang w:val="fr-BE"/>
        </w:rPr>
        <w:t xml:space="preserve"> </w:t>
      </w:r>
      <w:r w:rsidR="00425751">
        <w:rPr>
          <w:rFonts w:ascii="Times New Roman" w:hAnsi="Times New Roman"/>
          <w:lang w:val="fr-BE"/>
        </w:rPr>
        <w:t xml:space="preserve">Il s’agit toutefois d’une interprétation que n’impose pas le texte légal de façon indiscutable, comme le souligne implicitement P. Van Ommeslaghe lorsqu’il écrit que </w:t>
      </w:r>
      <w:r w:rsidR="00425751" w:rsidRPr="00DE50E1">
        <w:rPr>
          <w:rFonts w:ascii="Times New Roman" w:hAnsi="Times New Roman"/>
          <w:lang w:val="fr-BE"/>
        </w:rPr>
        <w:t xml:space="preserve">la validité des conventions est </w:t>
      </w:r>
      <w:r w:rsidR="00425751">
        <w:rPr>
          <w:rFonts w:ascii="Times New Roman" w:hAnsi="Times New Roman"/>
          <w:lang w:val="fr-BE"/>
        </w:rPr>
        <w:t>« </w:t>
      </w:r>
      <w:r w:rsidR="00425751" w:rsidRPr="00DE50E1">
        <w:rPr>
          <w:rFonts w:ascii="Times New Roman" w:hAnsi="Times New Roman"/>
          <w:lang w:val="fr-BE"/>
        </w:rPr>
        <w:t>subordonnée au caractère licite de leur objet et de leur cause »</w:t>
      </w:r>
      <w:r w:rsidR="00425751">
        <w:rPr>
          <w:rFonts w:ascii="Times New Roman" w:hAnsi="Times New Roman"/>
          <w:lang w:val="fr-BE"/>
        </w:rPr>
        <w:t>, selon « </w:t>
      </w:r>
      <w:r w:rsidR="00425751" w:rsidRPr="00DE50E1">
        <w:rPr>
          <w:rFonts w:ascii="Times New Roman" w:hAnsi="Times New Roman"/>
          <w:lang w:val="fr-BE"/>
        </w:rPr>
        <w:t>les articles 6, 1108, 1128 (</w:t>
      </w:r>
      <w:r w:rsidR="00425751" w:rsidRPr="00DE50E1">
        <w:rPr>
          <w:rFonts w:ascii="Times New Roman" w:hAnsi="Times New Roman"/>
          <w:i/>
          <w:lang w:val="fr-BE"/>
        </w:rPr>
        <w:t>tel qu’il est interprété</w:t>
      </w:r>
      <w:r w:rsidR="00425751" w:rsidRPr="00DE50E1">
        <w:rPr>
          <w:rFonts w:ascii="Times New Roman" w:hAnsi="Times New Roman"/>
          <w:lang w:val="fr-BE"/>
        </w:rPr>
        <w:t>), 1131 et 1133 du Code civil »</w:t>
      </w:r>
      <w:r w:rsidR="00425751">
        <w:rPr>
          <w:rStyle w:val="Marquenotebasdepage"/>
          <w:rFonts w:ascii="Times New Roman" w:hAnsi="Times New Roman"/>
          <w:lang w:val="fr-BE"/>
        </w:rPr>
        <w:footnoteReference w:id="147"/>
      </w:r>
      <w:r w:rsidR="00425751">
        <w:rPr>
          <w:rFonts w:ascii="Times New Roman" w:hAnsi="Times New Roman"/>
          <w:lang w:val="fr-BE"/>
        </w:rPr>
        <w:t xml:space="preserve">. Quoiqu’il en soit, nulle trace dans l’article 1128 du Code civil de la sanction qui devrait frapper la convention portant sur un objet qui est hors commerce. </w:t>
      </w:r>
    </w:p>
    <w:p w14:paraId="52BEFE2F" w14:textId="77777777" w:rsidR="00425751" w:rsidRDefault="00425751" w:rsidP="00425751">
      <w:pPr>
        <w:jc w:val="both"/>
        <w:rPr>
          <w:rFonts w:ascii="Times New Roman" w:hAnsi="Times New Roman"/>
        </w:rPr>
      </w:pPr>
    </w:p>
    <w:p w14:paraId="042A2632" w14:textId="348ED889" w:rsidR="00425751" w:rsidRPr="00DB5277" w:rsidRDefault="00C44A89" w:rsidP="00DB5277">
      <w:pPr>
        <w:jc w:val="both"/>
        <w:rPr>
          <w:rFonts w:ascii="Times New Roman" w:hAnsi="Times New Roman"/>
        </w:rPr>
      </w:pPr>
      <w:r>
        <w:rPr>
          <w:rFonts w:ascii="Times New Roman" w:hAnsi="Times New Roman"/>
        </w:rPr>
        <w:t>La jurisprudence de la</w:t>
      </w:r>
      <w:r w:rsidR="00DB5277">
        <w:rPr>
          <w:rFonts w:ascii="Times New Roman" w:hAnsi="Times New Roman"/>
        </w:rPr>
        <w:t xml:space="preserve"> Cour de cassation témoigne de s</w:t>
      </w:r>
      <w:r>
        <w:rPr>
          <w:rFonts w:ascii="Times New Roman" w:hAnsi="Times New Roman"/>
        </w:rPr>
        <w:t xml:space="preserve">a difficulté </w:t>
      </w:r>
      <w:r w:rsidR="00DB5277">
        <w:rPr>
          <w:rFonts w:ascii="Times New Roman" w:hAnsi="Times New Roman"/>
        </w:rPr>
        <w:t xml:space="preserve">à justifier, sur la base des dispositions qui lui sont spécifiquement consacrées, que l’illicéité de l’objet doive être sanctionnée par une nullité absolue, </w:t>
      </w:r>
      <w:r>
        <w:rPr>
          <w:rFonts w:ascii="Times New Roman" w:hAnsi="Times New Roman"/>
        </w:rPr>
        <w:t xml:space="preserve">à défaut de disposer de l’équivalent </w:t>
      </w:r>
      <w:r>
        <w:t xml:space="preserve">de l’article 1131 du Code civil </w:t>
      </w:r>
      <w:r w:rsidR="00425751">
        <w:rPr>
          <w:rFonts w:ascii="Times New Roman" w:hAnsi="Times New Roman"/>
        </w:rPr>
        <w:t xml:space="preserve">: </w:t>
      </w:r>
      <w:r w:rsidR="00425751">
        <w:t>« </w:t>
      </w:r>
      <w:r w:rsidR="00425751" w:rsidRPr="003B67F7">
        <w:rPr>
          <w:rFonts w:ascii="Times New Roman" w:hAnsi="Times New Roman"/>
        </w:rPr>
        <w:t>En vertu de l’article 1131 du Code civil, l’obligation sans cause, ou sur une fausse cause, ou sur une cause illicite, ne peut avoir aucun effet.</w:t>
      </w:r>
      <w:r w:rsidR="00425751">
        <w:t xml:space="preserve"> </w:t>
      </w:r>
      <w:r w:rsidR="00425751" w:rsidRPr="003B67F7">
        <w:rPr>
          <w:rFonts w:ascii="Times New Roman" w:hAnsi="Times New Roman"/>
        </w:rPr>
        <w:t>Une convention ayant un objet illicite est nulle en vertu de l’article 6 du Code civil</w:t>
      </w:r>
      <w:r w:rsidR="00425751">
        <w:rPr>
          <w:rFonts w:ascii="Times New Roman" w:hAnsi="Times New Roman"/>
        </w:rPr>
        <w:t> »</w:t>
      </w:r>
      <w:r w:rsidR="00425751">
        <w:rPr>
          <w:rStyle w:val="Marquenotebasdepage"/>
          <w:rFonts w:ascii="Times New Roman" w:hAnsi="Times New Roman"/>
        </w:rPr>
        <w:footnoteReference w:id="148"/>
      </w:r>
      <w:r w:rsidR="00425751" w:rsidRPr="003B67F7">
        <w:rPr>
          <w:rFonts w:ascii="Times New Roman" w:hAnsi="Times New Roman"/>
        </w:rPr>
        <w:t>.</w:t>
      </w:r>
      <w:r w:rsidR="00425751">
        <w:rPr>
          <w:rFonts w:ascii="Times New Roman" w:hAnsi="Times New Roman"/>
        </w:rPr>
        <w:t xml:space="preserve"> </w:t>
      </w:r>
      <w:r w:rsidR="00425751">
        <w:t>Or, on l’a vu, pas plus que l’article 1128, l’interdiction comminée par l’article 6 du Code civil n’énonce la sanction qui doit lui être attachée, de sorte que ces dispositions ne peuvent être interprétées autrement que, le cas échéant, comme consacrant une nullité virtuelle.</w:t>
      </w:r>
      <w:r w:rsidR="004E5B40">
        <w:t> </w:t>
      </w:r>
    </w:p>
    <w:p w14:paraId="639D2565" w14:textId="77777777" w:rsidR="00425751" w:rsidRDefault="00425751" w:rsidP="00425751">
      <w:pPr>
        <w:jc w:val="both"/>
      </w:pPr>
    </w:p>
    <w:p w14:paraId="1EB07D7E" w14:textId="6715CE5E" w:rsidR="00425751" w:rsidRDefault="00425751" w:rsidP="00425751">
      <w:pPr>
        <w:jc w:val="both"/>
      </w:pPr>
      <w:r>
        <w:t>F. Mourlon Beernaert relève du reste que les auteurs du Code civil n’avaient pas en vue de poser la licéité de l’objet comme condition de validité des conventions</w:t>
      </w:r>
      <w:r>
        <w:rPr>
          <w:rStyle w:val="Marquenotebasdepage"/>
        </w:rPr>
        <w:footnoteReference w:id="149"/>
      </w:r>
      <w:r>
        <w:t>. Outre l’argument de texte et l’explication historique, une telle différence avec la cause illicite nous paraît se justifier dans la conception subjectiviste qui parcourt notre ordre juridique, que ce soit en droit pénal ou en droit civil. Comme la faute pénale, l</w:t>
      </w:r>
      <w:r w:rsidRPr="002623FD">
        <w:t xml:space="preserve">a faute </w:t>
      </w:r>
      <w:r>
        <w:t xml:space="preserve">extracontractuelle </w:t>
      </w:r>
      <w:r w:rsidRPr="002623FD">
        <w:t xml:space="preserve">requiert tant un élément objectif, soit un acte objectivement illicite, que subjectif, à savoir l’imputabilité de </w:t>
      </w:r>
      <w:r w:rsidRPr="002623FD">
        <w:lastRenderedPageBreak/>
        <w:t>cet acte à son auteur</w:t>
      </w:r>
      <w:r>
        <w:rPr>
          <w:rStyle w:val="Marquenotebasdepage"/>
        </w:rPr>
        <w:footnoteReference w:id="150"/>
      </w:r>
      <w:r w:rsidRPr="002623FD">
        <w:t xml:space="preserve">. </w:t>
      </w:r>
      <w:r>
        <w:t>Il n’est pas déraisonnable, dans ce cadre</w:t>
      </w:r>
      <w:r w:rsidR="00DB5277">
        <w:t>,</w:t>
      </w:r>
      <w:r>
        <w:t xml:space="preserve"> de justifier la différence opérée, au niveau de la sanction du contrat, entre le cocontractant qui a conclu à des fins illicites et celui qui a, le cas échéant de façon involontaire, créé ou maintenu une situation illicite par son engagement contractuel.  </w:t>
      </w:r>
    </w:p>
    <w:p w14:paraId="75B7943B" w14:textId="77777777" w:rsidR="002F4DCE" w:rsidRDefault="002F4DCE" w:rsidP="002F4DCE">
      <w:pPr>
        <w:jc w:val="both"/>
      </w:pPr>
    </w:p>
    <w:p w14:paraId="2F1E7E5A" w14:textId="2C8165C1" w:rsidR="004E5B40" w:rsidRDefault="004E5B40" w:rsidP="004E5B40">
      <w:pPr>
        <w:jc w:val="both"/>
      </w:pPr>
      <w:r>
        <w:t xml:space="preserve">Il nous paraît par conséquent que, contrairement à ce qu’affirme la Cour de cassation et à ce qui est largement enseigné par la doctrine et relayé par la jurisprudence, l’objet illicite ne doit pas nécessairement entraîner la nullité de la convention mais que le juge dispose d’un pouvoir d’appréciation en la matière. </w:t>
      </w:r>
    </w:p>
    <w:p w14:paraId="377FF036" w14:textId="258AD286" w:rsidR="00791104" w:rsidRDefault="00791104" w:rsidP="002F4DCE">
      <w:pPr>
        <w:jc w:val="both"/>
      </w:pPr>
    </w:p>
    <w:p w14:paraId="590D43E9" w14:textId="0762CA94" w:rsidR="002F4DCE" w:rsidRPr="00341339" w:rsidRDefault="00341339" w:rsidP="00F64C8B">
      <w:pPr>
        <w:jc w:val="both"/>
        <w:rPr>
          <w:u w:val="single"/>
        </w:rPr>
      </w:pPr>
      <w:r w:rsidRPr="00341339">
        <w:rPr>
          <w:u w:val="single"/>
        </w:rPr>
        <w:t>Section 3</w:t>
      </w:r>
      <w:r w:rsidR="00445CB4" w:rsidRPr="00341339">
        <w:rPr>
          <w:u w:val="single"/>
        </w:rPr>
        <w:t>. L’office du juge</w:t>
      </w:r>
    </w:p>
    <w:p w14:paraId="73CB1087" w14:textId="7A7F9734" w:rsidR="00425751" w:rsidRDefault="00425751" w:rsidP="00425751">
      <w:pPr>
        <w:jc w:val="both"/>
      </w:pPr>
    </w:p>
    <w:p w14:paraId="7CC384A5" w14:textId="4DD5FDC3" w:rsidR="00F15D52" w:rsidRDefault="00341339" w:rsidP="00425751">
      <w:pPr>
        <w:jc w:val="both"/>
        <w:rPr>
          <w:rFonts w:ascii="Times New Roman" w:hAnsi="Times New Roman"/>
          <w:lang w:val="fr-BE"/>
        </w:rPr>
      </w:pPr>
      <w:r>
        <w:rPr>
          <w:b/>
        </w:rPr>
        <w:t>3</w:t>
      </w:r>
      <w:r w:rsidR="003F06AA">
        <w:rPr>
          <w:b/>
        </w:rPr>
        <w:t>7</w:t>
      </w:r>
      <w:r>
        <w:rPr>
          <w:b/>
        </w:rPr>
        <w:t xml:space="preserve">. - </w:t>
      </w:r>
      <w:r w:rsidR="00B97A17" w:rsidRPr="00B97A17">
        <w:rPr>
          <w:b/>
        </w:rPr>
        <w:t>Un raisonnement en deux temps</w:t>
      </w:r>
      <w:r w:rsidR="00425751" w:rsidRPr="00B97A17">
        <w:rPr>
          <w:b/>
        </w:rPr>
        <w:t xml:space="preserve">. </w:t>
      </w:r>
      <w:r w:rsidR="00791104">
        <w:t xml:space="preserve">Le raisonnement proposé </w:t>
      </w:r>
      <w:r w:rsidR="008C6674">
        <w:t xml:space="preserve">revient à </w:t>
      </w:r>
      <w:r w:rsidR="008C6674" w:rsidRPr="00455988">
        <w:t>découpler la question de la violation</w:t>
      </w:r>
      <w:r w:rsidR="00791104">
        <w:t>, lors de la formation d’une convention,</w:t>
      </w:r>
      <w:r w:rsidR="008C6674" w:rsidRPr="00455988">
        <w:t xml:space="preserve"> de </w:t>
      </w:r>
      <w:r w:rsidR="00791104">
        <w:t>l</w:t>
      </w:r>
      <w:r w:rsidR="008C6674" w:rsidRPr="00455988">
        <w:t>’ordre public</w:t>
      </w:r>
      <w:r w:rsidR="00791104">
        <w:rPr>
          <w:rStyle w:val="Marquenotebasdepage"/>
        </w:rPr>
        <w:footnoteReference w:id="151"/>
      </w:r>
      <w:r w:rsidR="00791104">
        <w:t xml:space="preserve"> du</w:t>
      </w:r>
      <w:r w:rsidR="008C6674" w:rsidRPr="00455988">
        <w:t xml:space="preserve"> caractère automatique de la sanction de nullité absolue. Alors que la première doit être soulevée d’office par le juge, </w:t>
      </w:r>
      <w:r w:rsidR="008C6674">
        <w:t>dans le respect des droits de la défense</w:t>
      </w:r>
      <w:r w:rsidR="008C6674" w:rsidRPr="00455988">
        <w:rPr>
          <w:rStyle w:val="Marquenotebasdepage"/>
        </w:rPr>
        <w:footnoteReference w:id="152"/>
      </w:r>
      <w:r w:rsidR="008C6674">
        <w:t xml:space="preserve">, </w:t>
      </w:r>
      <w:r w:rsidR="008C6674" w:rsidRPr="00455988">
        <w:t xml:space="preserve">la sanction de nullité ne devrait être retenue qu’après l’examen précité de la pertinence d’une telle sanction, eu égard </w:t>
      </w:r>
      <w:r w:rsidR="00791104">
        <w:t>aux circonstances concrètes de la cause</w:t>
      </w:r>
      <w:r w:rsidR="003426F1">
        <w:rPr>
          <w:rStyle w:val="Marquenotebasdepage"/>
        </w:rPr>
        <w:footnoteReference w:id="153"/>
      </w:r>
      <w:r w:rsidR="00791104">
        <w:t xml:space="preserve">. </w:t>
      </w:r>
    </w:p>
    <w:p w14:paraId="054481F1" w14:textId="3DCFCF02" w:rsidR="003426F1" w:rsidRDefault="003426F1" w:rsidP="003426F1">
      <w:pPr>
        <w:jc w:val="both"/>
        <w:rPr>
          <w:rFonts w:ascii="Times New Roman" w:hAnsi="Times New Roman"/>
          <w:lang w:val="fr-BE"/>
        </w:rPr>
      </w:pPr>
      <w:r>
        <w:rPr>
          <w:rFonts w:ascii="Times New Roman" w:hAnsi="Times New Roman"/>
          <w:lang w:val="fr-BE"/>
        </w:rPr>
        <w:br/>
        <w:t xml:space="preserve">Afin de déterminer le caractère annulable du contrat, le juge doit, en effet, se placer au moment de la formation du contrat mais, lorsqu’il </w:t>
      </w:r>
      <w:r w:rsidR="00DB5277">
        <w:rPr>
          <w:rFonts w:ascii="Times New Roman" w:hAnsi="Times New Roman"/>
          <w:lang w:val="fr-BE"/>
        </w:rPr>
        <w:t>décide</w:t>
      </w:r>
      <w:r>
        <w:rPr>
          <w:rFonts w:ascii="Times New Roman" w:hAnsi="Times New Roman"/>
          <w:lang w:val="fr-BE"/>
        </w:rPr>
        <w:t xml:space="preserve"> </w:t>
      </w:r>
      <w:r w:rsidR="00DB5277">
        <w:rPr>
          <w:rFonts w:ascii="Times New Roman" w:hAnsi="Times New Roman"/>
          <w:lang w:val="fr-BE"/>
        </w:rPr>
        <w:t>s’il doit</w:t>
      </w:r>
      <w:r>
        <w:rPr>
          <w:rFonts w:ascii="Times New Roman" w:hAnsi="Times New Roman"/>
          <w:lang w:val="fr-BE"/>
        </w:rPr>
        <w:t xml:space="preserve"> constater la nullité de contrat ou, à la demande d’une partie ou d’un tiers, en prononcer la nullité, il doit prendre en considération la situation au moment où il statue et se demander si cette sanction a encore du sens</w:t>
      </w:r>
      <w:r w:rsidR="00DB5277">
        <w:rPr>
          <w:rFonts w:ascii="Times New Roman" w:hAnsi="Times New Roman"/>
          <w:lang w:val="fr-BE"/>
        </w:rPr>
        <w:t>. E</w:t>
      </w:r>
      <w:r>
        <w:rPr>
          <w:rFonts w:ascii="Times New Roman" w:hAnsi="Times New Roman"/>
          <w:lang w:val="fr-BE"/>
        </w:rPr>
        <w:t>n d’autres termes, l’</w:t>
      </w:r>
      <w:r w:rsidR="0072478B">
        <w:rPr>
          <w:rFonts w:ascii="Times New Roman" w:hAnsi="Times New Roman"/>
          <w:lang w:val="fr-BE"/>
        </w:rPr>
        <w:t>intérêt général</w:t>
      </w:r>
      <w:r>
        <w:rPr>
          <w:rFonts w:ascii="Times New Roman" w:hAnsi="Times New Roman"/>
          <w:lang w:val="fr-BE"/>
        </w:rPr>
        <w:t xml:space="preserve"> impose-t-il encore et toujours de faire disparaître, rétroactivement, cette convention de l’ordre juridique ou de la priver de tout effet ? Il est fort possible que, lorsque l’objectif du législateur a été atteint d’une autre façon que celle imposée par la loi ou que la situation a été régularisée après la formation du contrat mais avant son exécution, ce ne soit pas le cas. Ainsi, </w:t>
      </w:r>
      <w:r w:rsidR="0038410C">
        <w:rPr>
          <w:rFonts w:ascii="Times New Roman" w:hAnsi="Times New Roman"/>
          <w:lang w:val="fr-BE"/>
        </w:rPr>
        <w:t xml:space="preserve">en présence </w:t>
      </w:r>
      <w:r>
        <w:rPr>
          <w:rFonts w:ascii="Times New Roman" w:hAnsi="Times New Roman"/>
          <w:lang w:val="fr-BE"/>
        </w:rPr>
        <w:t xml:space="preserve">d’un contrat d’entrepris conclu par un entrepreneur n’ayant pas l’accès à la profession, </w:t>
      </w:r>
      <w:r w:rsidR="0038410C">
        <w:rPr>
          <w:rFonts w:ascii="Times New Roman" w:hAnsi="Times New Roman"/>
          <w:lang w:val="fr-BE"/>
        </w:rPr>
        <w:t>le juge pourrait</w:t>
      </w:r>
      <w:r w:rsidR="00DB5277">
        <w:rPr>
          <w:rFonts w:ascii="Times New Roman" w:hAnsi="Times New Roman"/>
          <w:lang w:val="fr-BE"/>
        </w:rPr>
        <w:t>, sans mettre à mal l’ordre public,</w:t>
      </w:r>
      <w:r w:rsidR="0038410C">
        <w:rPr>
          <w:rFonts w:ascii="Times New Roman" w:hAnsi="Times New Roman"/>
          <w:lang w:val="fr-BE"/>
        </w:rPr>
        <w:t xml:space="preserve"> </w:t>
      </w:r>
      <w:r w:rsidR="00DB5277">
        <w:rPr>
          <w:rFonts w:ascii="Times New Roman" w:hAnsi="Times New Roman"/>
          <w:lang w:val="fr-BE"/>
        </w:rPr>
        <w:t>considér</w:t>
      </w:r>
      <w:r w:rsidR="0038410C">
        <w:rPr>
          <w:rFonts w:ascii="Times New Roman" w:hAnsi="Times New Roman"/>
          <w:lang w:val="fr-BE"/>
        </w:rPr>
        <w:t xml:space="preserve">er que la nullité n’est pas une sanction adéquate </w:t>
      </w:r>
      <w:r>
        <w:rPr>
          <w:rFonts w:ascii="Times New Roman" w:hAnsi="Times New Roman"/>
          <w:lang w:val="fr-BE"/>
        </w:rPr>
        <w:t>lorsque l’accès a été obtenu avant l’exécution des travaux.</w:t>
      </w:r>
    </w:p>
    <w:p w14:paraId="02275A5A" w14:textId="77777777" w:rsidR="00B97A17" w:rsidRDefault="00B97A17" w:rsidP="00402D3F">
      <w:pPr>
        <w:jc w:val="both"/>
        <w:rPr>
          <w:rFonts w:ascii="Times New Roman" w:hAnsi="Times New Roman"/>
          <w:lang w:val="fr-BE"/>
        </w:rPr>
      </w:pPr>
    </w:p>
    <w:p w14:paraId="5A46580D" w14:textId="4716E685" w:rsidR="001A6189" w:rsidRPr="003F2DC6" w:rsidRDefault="00DB5277" w:rsidP="001A6189">
      <w:pPr>
        <w:jc w:val="both"/>
      </w:pPr>
      <w:r w:rsidRPr="00DB5277">
        <w:rPr>
          <w:rFonts w:ascii="Times New Roman" w:hAnsi="Times New Roman"/>
          <w:b/>
          <w:lang w:val="fr-BE"/>
        </w:rPr>
        <w:lastRenderedPageBreak/>
        <w:t xml:space="preserve">38. - </w:t>
      </w:r>
      <w:r w:rsidR="00402D3F">
        <w:rPr>
          <w:rFonts w:ascii="Times New Roman" w:hAnsi="Times New Roman"/>
          <w:lang w:val="fr-BE"/>
        </w:rPr>
        <w:t xml:space="preserve">R. Japiot défendait </w:t>
      </w:r>
      <w:r w:rsidR="00B97A17">
        <w:rPr>
          <w:rFonts w:ascii="Times New Roman" w:hAnsi="Times New Roman"/>
          <w:lang w:val="fr-BE"/>
        </w:rPr>
        <w:t xml:space="preserve">déjà </w:t>
      </w:r>
      <w:r w:rsidR="00402D3F">
        <w:rPr>
          <w:rFonts w:ascii="Times New Roman" w:hAnsi="Times New Roman"/>
          <w:lang w:val="fr-BE"/>
        </w:rPr>
        <w:t xml:space="preserve">l’idée intéressante d’une « mobilité de l’ordre public ». Selon lui, « toutes les nullités, après avoir été d’ordre public au sens de l’article 6, sont susceptibles de perdre plus ou moins complètement ce caractère et de tolérer des </w:t>
      </w:r>
      <w:r w:rsidR="00402D3F" w:rsidRPr="00B50269">
        <w:rPr>
          <w:rFonts w:ascii="Times New Roman" w:hAnsi="Times New Roman"/>
          <w:lang w:val="fr-BE"/>
        </w:rPr>
        <w:t>confirmations </w:t>
      </w:r>
      <w:r w:rsidR="00402D3F">
        <w:rPr>
          <w:rFonts w:ascii="Times New Roman" w:hAnsi="Times New Roman"/>
          <w:lang w:val="fr-BE"/>
        </w:rPr>
        <w:t xml:space="preserve">», de sorte que « la nullité sera d’ordre public au sens de l’article 6, </w:t>
      </w:r>
      <w:r w:rsidR="00402D3F" w:rsidRPr="00B50269">
        <w:rPr>
          <w:rFonts w:ascii="Times New Roman" w:hAnsi="Times New Roman"/>
          <w:lang w:val="fr-BE"/>
        </w:rPr>
        <w:t>pendant la période et dans la mesure où l’exigera le but de la nullité</w:t>
      </w:r>
      <w:r w:rsidR="00402D3F">
        <w:rPr>
          <w:rFonts w:ascii="Times New Roman" w:hAnsi="Times New Roman"/>
          <w:lang w:val="fr-BE"/>
        </w:rPr>
        <w:t> »</w:t>
      </w:r>
      <w:r w:rsidR="00402D3F">
        <w:rPr>
          <w:rStyle w:val="Marquenotebasdepage"/>
          <w:rFonts w:ascii="Times New Roman" w:hAnsi="Times New Roman"/>
          <w:lang w:val="fr-BE"/>
        </w:rPr>
        <w:footnoteReference w:id="154"/>
      </w:r>
      <w:r w:rsidR="00402D3F">
        <w:rPr>
          <w:rFonts w:ascii="Times New Roman" w:hAnsi="Times New Roman"/>
          <w:lang w:val="fr-BE"/>
        </w:rPr>
        <w:t xml:space="preserve">. Tel pourrait être le cas en raison notamment de « changements intervenus dans le milieu », qu’ils soient d’ordre juridique ou factuel. Dans ce cas, l’intérêt général « exigera que la nullité soit considérée comme étant d’ordre social jusqu’à l’événement d’un fait nouveau tel que l’acte, </w:t>
      </w:r>
      <w:r w:rsidR="00402D3F" w:rsidRPr="00B50269">
        <w:rPr>
          <w:rFonts w:ascii="Times New Roman" w:hAnsi="Times New Roman"/>
          <w:lang w:val="fr-BE"/>
        </w:rPr>
        <w:t>s’il eût été passé après ce fait nouveau, sans autre modification de ses éléments, eût été valable</w:t>
      </w:r>
      <w:r w:rsidR="00402D3F">
        <w:rPr>
          <w:rFonts w:ascii="Times New Roman" w:hAnsi="Times New Roman"/>
          <w:lang w:val="fr-BE"/>
        </w:rPr>
        <w:t> »</w:t>
      </w:r>
      <w:r w:rsidR="00402D3F">
        <w:rPr>
          <w:rStyle w:val="Marquenotebasdepage"/>
          <w:rFonts w:ascii="Times New Roman" w:hAnsi="Times New Roman"/>
          <w:lang w:val="fr-BE"/>
        </w:rPr>
        <w:footnoteReference w:id="155"/>
      </w:r>
      <w:r w:rsidR="00402D3F">
        <w:rPr>
          <w:rFonts w:ascii="Times New Roman" w:hAnsi="Times New Roman"/>
          <w:lang w:val="fr-BE"/>
        </w:rPr>
        <w:t xml:space="preserve">. </w:t>
      </w:r>
      <w:r w:rsidR="003F2DC6">
        <w:rPr>
          <w:rFonts w:ascii="Times New Roman" w:hAnsi="Times New Roman"/>
          <w:lang w:val="fr-BE"/>
        </w:rPr>
        <w:t xml:space="preserve">A sa suite, d’autres auteurs </w:t>
      </w:r>
      <w:r w:rsidR="003F2DC6" w:rsidRPr="001B0FC3">
        <w:rPr>
          <w:rFonts w:ascii="Times New Roman" w:hAnsi="Times New Roman"/>
          <w:lang w:val="fr-BE"/>
        </w:rPr>
        <w:t xml:space="preserve">estiment qu’il </w:t>
      </w:r>
      <w:r w:rsidR="003F2DC6">
        <w:rPr>
          <w:rFonts w:ascii="Times New Roman" w:hAnsi="Times New Roman"/>
          <w:lang w:val="fr-BE"/>
        </w:rPr>
        <w:t>peut arriver que «</w:t>
      </w:r>
      <w:r w:rsidR="003F2DC6" w:rsidRPr="001B0FC3">
        <w:rPr>
          <w:rFonts w:ascii="Times New Roman" w:hAnsi="Times New Roman"/>
          <w:lang w:val="fr-BE"/>
        </w:rPr>
        <w:t xml:space="preserve"> l’intérêt général cesse de commander l’annulation de sorte qu’une confirmation peut alors intervenir »</w:t>
      </w:r>
      <w:r w:rsidR="003F2DC6" w:rsidRPr="001B0FC3">
        <w:rPr>
          <w:rStyle w:val="Marquenotebasdepage"/>
          <w:rFonts w:ascii="Times New Roman" w:hAnsi="Times New Roman"/>
          <w:lang w:val="fr-BE"/>
        </w:rPr>
        <w:footnoteReference w:id="156"/>
      </w:r>
      <w:r w:rsidR="003F2DC6">
        <w:rPr>
          <w:rFonts w:ascii="Times New Roman" w:hAnsi="Times New Roman"/>
          <w:lang w:val="fr-BE"/>
        </w:rPr>
        <w:t xml:space="preserve"> ou que</w:t>
      </w:r>
      <w:r w:rsidR="003F2DC6" w:rsidRPr="001B0FC3">
        <w:rPr>
          <w:rFonts w:ascii="Times New Roman" w:hAnsi="Times New Roman"/>
          <w:lang w:val="fr-BE"/>
        </w:rPr>
        <w:t xml:space="preserve"> « le but d’intérêt général qui s’opposerait à sa couverture aurait disparu »</w:t>
      </w:r>
      <w:r w:rsidR="003F2DC6" w:rsidRPr="001B0FC3">
        <w:rPr>
          <w:rStyle w:val="Marquenotebasdepage"/>
          <w:rFonts w:ascii="Times New Roman" w:hAnsi="Times New Roman"/>
          <w:lang w:val="fr-BE"/>
        </w:rPr>
        <w:footnoteReference w:id="157"/>
      </w:r>
      <w:r w:rsidR="003F2DC6">
        <w:rPr>
          <w:rFonts w:ascii="Times New Roman" w:hAnsi="Times New Roman"/>
          <w:lang w:val="fr-BE"/>
        </w:rPr>
        <w:t xml:space="preserve">. N’est-il pas envisageable de considérer que tel puisse être le cas lorsqu’une régularisation, juridique ou factuelle, est intervenue en temps utile ? </w:t>
      </w:r>
    </w:p>
    <w:p w14:paraId="1DEBACB9" w14:textId="77777777" w:rsidR="001A6189" w:rsidRDefault="001A6189" w:rsidP="001A6189">
      <w:pPr>
        <w:jc w:val="both"/>
        <w:rPr>
          <w:rFonts w:ascii="Times New Roman" w:hAnsi="Times New Roman"/>
          <w:lang w:val="fr-BE"/>
        </w:rPr>
      </w:pPr>
    </w:p>
    <w:p w14:paraId="1DA84494" w14:textId="4E39F896" w:rsidR="00402D3F" w:rsidRPr="001A6189" w:rsidRDefault="001160CB" w:rsidP="001A6189">
      <w:pPr>
        <w:jc w:val="both"/>
      </w:pPr>
      <w:r>
        <w:rPr>
          <w:rFonts w:ascii="Times New Roman" w:hAnsi="Times New Roman"/>
          <w:lang w:val="fr-BE"/>
        </w:rPr>
        <w:t xml:space="preserve">Il est regrettable, à cet égard, </w:t>
      </w:r>
      <w:r w:rsidR="00B97A17">
        <w:rPr>
          <w:rFonts w:ascii="Times New Roman" w:hAnsi="Times New Roman"/>
          <w:lang w:val="fr-BE"/>
        </w:rPr>
        <w:t xml:space="preserve">que la </w:t>
      </w:r>
      <w:r w:rsidR="001A6189">
        <w:rPr>
          <w:rFonts w:ascii="Times New Roman" w:hAnsi="Times New Roman"/>
          <w:lang w:val="fr-BE"/>
        </w:rPr>
        <w:t xml:space="preserve">Cour d’appel de Liège </w:t>
      </w:r>
      <w:r w:rsidR="002259CB">
        <w:rPr>
          <w:rFonts w:ascii="Times New Roman" w:hAnsi="Times New Roman"/>
          <w:lang w:val="fr-BE"/>
        </w:rPr>
        <w:t xml:space="preserve">n’ait pas, lorsqu’elle </w:t>
      </w:r>
      <w:r w:rsidR="001A6189">
        <w:rPr>
          <w:rFonts w:ascii="Times New Roman" w:hAnsi="Times New Roman"/>
          <w:lang w:val="fr-BE"/>
        </w:rPr>
        <w:t>a conclu à la nullité d</w:t>
      </w:r>
      <w:r w:rsidR="004C3BDA">
        <w:rPr>
          <w:rFonts w:ascii="Times New Roman" w:hAnsi="Times New Roman"/>
          <w:lang w:val="fr-BE"/>
        </w:rPr>
        <w:t>u compromis de</w:t>
      </w:r>
      <w:r w:rsidR="001A6189">
        <w:rPr>
          <w:rFonts w:ascii="Times New Roman" w:hAnsi="Times New Roman"/>
          <w:lang w:val="fr-BE"/>
        </w:rPr>
        <w:t xml:space="preserve"> </w:t>
      </w:r>
      <w:r w:rsidR="00B97A17">
        <w:t>vente d’un lot issu de la division d’un terrain en violation d’une disposition qui</w:t>
      </w:r>
      <w:r w:rsidR="001A6189">
        <w:t xml:space="preserve">, dans sa version applicable lors du compromis, interdisait </w:t>
      </w:r>
      <w:r w:rsidR="00B97A17">
        <w:t xml:space="preserve">de lotir un terrain sans permis </w:t>
      </w:r>
      <w:r w:rsidR="00B97A17" w:rsidRPr="00822A20">
        <w:t>préalable</w:t>
      </w:r>
      <w:r w:rsidR="002259CB">
        <w:t xml:space="preserve">, </w:t>
      </w:r>
      <w:r w:rsidR="004C3BDA">
        <w:t xml:space="preserve">tenu compte </w:t>
      </w:r>
      <w:r w:rsidR="002259CB">
        <w:t xml:space="preserve">du fait que cette obligation </w:t>
      </w:r>
      <w:r w:rsidR="004C3BDA">
        <w:t>avait, postérieurement au compromis, été supprimée par le législateur wallon</w:t>
      </w:r>
      <w:r w:rsidR="00B97A17">
        <w:rPr>
          <w:rFonts w:ascii="Times New Roman" w:eastAsia="Times New Roman"/>
          <w:vertAlign w:val="superscript"/>
        </w:rPr>
        <w:footnoteReference w:id="158"/>
      </w:r>
      <w:r w:rsidR="00F9343E">
        <w:t xml:space="preserve">. </w:t>
      </w:r>
    </w:p>
    <w:p w14:paraId="165EDE1B" w14:textId="2A2BC211" w:rsidR="00402D3F" w:rsidRDefault="001160CB" w:rsidP="002412F9">
      <w:pPr>
        <w:tabs>
          <w:tab w:val="center" w:pos="4533"/>
        </w:tabs>
        <w:jc w:val="both"/>
      </w:pPr>
      <w:r>
        <w:rPr>
          <w:rFonts w:ascii="Times New Roman" w:hAnsi="Times New Roman"/>
          <w:lang w:val="fr-BE"/>
        </w:rPr>
        <w:br/>
      </w:r>
      <w:r w:rsidR="00DB5277">
        <w:rPr>
          <w:rFonts w:ascii="Times New Roman" w:hAnsi="Times New Roman"/>
          <w:b/>
          <w:lang w:val="fr-BE"/>
        </w:rPr>
        <w:t>39</w:t>
      </w:r>
      <w:r w:rsidR="00DB5277" w:rsidRPr="00DB5277">
        <w:rPr>
          <w:rFonts w:ascii="Times New Roman" w:hAnsi="Times New Roman"/>
          <w:b/>
          <w:lang w:val="fr-BE"/>
        </w:rPr>
        <w:t xml:space="preserve">. - </w:t>
      </w:r>
      <w:r>
        <w:rPr>
          <w:rFonts w:ascii="Times New Roman" w:hAnsi="Times New Roman"/>
          <w:lang w:val="fr-BE"/>
        </w:rPr>
        <w:t>Dans certains cas, du reste, l’intérêt général non seulement n’impose pas la sanction de la nullité mais pourra</w:t>
      </w:r>
      <w:r w:rsidR="002412F9">
        <w:rPr>
          <w:rFonts w:ascii="Times New Roman" w:hAnsi="Times New Roman"/>
          <w:lang w:val="fr-BE"/>
        </w:rPr>
        <w:t>it, au contraire, s’y opposer. La matière des contrats publics illustre parfaitement cette problématique dès lors qu’on peut aisément imaginer que le principe de continuité des services publics ne puisse s’accommoder de la disparition immédiate et rétroactive d’un contrat alors que les prestations sont en cours d’exécution</w:t>
      </w:r>
      <w:r w:rsidR="00E90C75">
        <w:rPr>
          <w:rFonts w:ascii="Times New Roman" w:hAnsi="Times New Roman"/>
          <w:lang w:val="fr-BE"/>
        </w:rPr>
        <w:t xml:space="preserve"> ou attendues d’urgence</w:t>
      </w:r>
      <w:r w:rsidR="007379C4">
        <w:rPr>
          <w:rStyle w:val="Marquenotebasdepage"/>
        </w:rPr>
        <w:footnoteReference w:id="159"/>
      </w:r>
      <w:r w:rsidR="002412F9">
        <w:rPr>
          <w:rFonts w:ascii="Times New Roman" w:hAnsi="Times New Roman"/>
          <w:lang w:val="fr-BE"/>
        </w:rPr>
        <w:t xml:space="preserve">. On l’a vu, en matière de marchés publics, le juge a, dans certains cas, la faculté de prononcer des sanctions de substitution </w:t>
      </w:r>
      <w:r w:rsidR="00255D6F">
        <w:rPr>
          <w:rFonts w:ascii="Times New Roman" w:hAnsi="Times New Roman"/>
          <w:lang w:val="fr-BE"/>
        </w:rPr>
        <w:t>à la nullité du contrat</w:t>
      </w:r>
      <w:r w:rsidR="00255D6F" w:rsidRPr="00255D6F">
        <w:t xml:space="preserve"> </w:t>
      </w:r>
      <w:r w:rsidR="00255D6F">
        <w:t>lorsqu’il constate « que des raisons impérieuses d'intérêt général imposent que les effets du marché soient maintenus »</w:t>
      </w:r>
      <w:r w:rsidR="00255D6F">
        <w:rPr>
          <w:rStyle w:val="Marquenotebasdepage"/>
        </w:rPr>
        <w:footnoteReference w:id="160"/>
      </w:r>
      <w:r w:rsidR="00255D6F">
        <w:t>. Dès lors que ces situations impliqueront généralement un acte de l’autorité publique, le juge ne perdra toutefois pas de vue l’obligation que lui impose l’article 159 de la Constitution</w:t>
      </w:r>
      <w:r w:rsidR="0072478B">
        <w:rPr>
          <w:rStyle w:val="Marquenotebasdepage"/>
        </w:rPr>
        <w:footnoteReference w:id="161"/>
      </w:r>
      <w:r w:rsidR="00255D6F">
        <w:t xml:space="preserve">.  </w:t>
      </w:r>
    </w:p>
    <w:p w14:paraId="5996AB58" w14:textId="77777777" w:rsidR="009F5F8E" w:rsidRDefault="009F5F8E" w:rsidP="0018242F">
      <w:pPr>
        <w:jc w:val="both"/>
        <w:rPr>
          <w:rFonts w:ascii="Times New Roman" w:hAnsi="Times New Roman"/>
        </w:rPr>
      </w:pPr>
    </w:p>
    <w:p w14:paraId="5C5C666C" w14:textId="77777777" w:rsidR="00341339" w:rsidRDefault="00341339" w:rsidP="0018242F">
      <w:pPr>
        <w:jc w:val="both"/>
        <w:rPr>
          <w:rFonts w:ascii="Times New Roman" w:hAnsi="Times New Roman"/>
        </w:rPr>
      </w:pPr>
    </w:p>
    <w:p w14:paraId="0286E8EB" w14:textId="2B404149" w:rsidR="00C44A89" w:rsidRPr="00341339" w:rsidRDefault="00341339" w:rsidP="00341339">
      <w:pPr>
        <w:ind w:left="2832" w:firstLine="708"/>
        <w:jc w:val="both"/>
        <w:rPr>
          <w:rFonts w:ascii="Times New Roman" w:hAnsi="Times New Roman"/>
          <w:smallCaps/>
        </w:rPr>
      </w:pPr>
      <w:r w:rsidRPr="00341339">
        <w:rPr>
          <w:rFonts w:ascii="Times New Roman" w:hAnsi="Times New Roman"/>
          <w:smallCaps/>
        </w:rPr>
        <w:t>Conclusion</w:t>
      </w:r>
    </w:p>
    <w:p w14:paraId="15E226F6" w14:textId="77777777" w:rsidR="00DC234C" w:rsidRDefault="00DC234C" w:rsidP="007D3068">
      <w:pPr>
        <w:jc w:val="both"/>
        <w:rPr>
          <w:rFonts w:ascii="Times New Roman" w:hAnsi="Times New Roman"/>
        </w:rPr>
      </w:pPr>
    </w:p>
    <w:p w14:paraId="64EE2AEC" w14:textId="6B1AEACD" w:rsidR="00E90C75" w:rsidRDefault="00E90C75" w:rsidP="007D3068">
      <w:pPr>
        <w:jc w:val="both"/>
        <w:rPr>
          <w:rFonts w:ascii="Times New Roman" w:hAnsi="Times New Roman"/>
        </w:rPr>
      </w:pPr>
      <w:r w:rsidRPr="00E90C75">
        <w:rPr>
          <w:rFonts w:ascii="Times New Roman" w:hAnsi="Times New Roman"/>
          <w:b/>
        </w:rPr>
        <w:t xml:space="preserve">40. - </w:t>
      </w:r>
      <w:r w:rsidR="00DC234C">
        <w:rPr>
          <w:rFonts w:ascii="Times New Roman" w:hAnsi="Times New Roman"/>
        </w:rPr>
        <w:t>S’exprimant sur l’identification des nullités virtuelles, De Page écrivait : « Tout est, ici, question de discernement, de doigté, de ‘cas d’espèce’ »</w:t>
      </w:r>
      <w:r w:rsidR="00DC234C">
        <w:rPr>
          <w:rStyle w:val="Marquenotebasdepage"/>
          <w:rFonts w:ascii="Times New Roman" w:hAnsi="Times New Roman"/>
        </w:rPr>
        <w:footnoteReference w:id="162"/>
      </w:r>
      <w:r w:rsidR="00DC234C">
        <w:rPr>
          <w:rFonts w:ascii="Times New Roman" w:hAnsi="Times New Roman"/>
        </w:rPr>
        <w:t xml:space="preserve">. </w:t>
      </w:r>
      <w:r>
        <w:rPr>
          <w:rFonts w:ascii="Times New Roman" w:hAnsi="Times New Roman"/>
        </w:rPr>
        <w:t xml:space="preserve">Ces termes suffiraient presque à conclure cette contribution. </w:t>
      </w:r>
    </w:p>
    <w:p w14:paraId="66F625C1" w14:textId="77777777" w:rsidR="00E90C75" w:rsidRDefault="00E90C75" w:rsidP="007D3068">
      <w:pPr>
        <w:jc w:val="both"/>
        <w:rPr>
          <w:rFonts w:ascii="Times New Roman" w:hAnsi="Times New Roman"/>
        </w:rPr>
      </w:pPr>
    </w:p>
    <w:p w14:paraId="45555559" w14:textId="015D2D87" w:rsidR="00E90C75" w:rsidRDefault="00E90C75" w:rsidP="007D3068">
      <w:pPr>
        <w:jc w:val="both"/>
        <w:rPr>
          <w:rFonts w:ascii="Times New Roman" w:hAnsi="Times New Roman"/>
        </w:rPr>
      </w:pPr>
      <w:r>
        <w:rPr>
          <w:rFonts w:ascii="Times New Roman" w:hAnsi="Times New Roman"/>
        </w:rPr>
        <w:t xml:space="preserve">Résumons-nous. Même confronté à une convention portant atteinte à une disposition d’ordre public ou, plus généralement, à l’ordre public, le juge n’a pas, sauf lorsque la sanction de nullité est prévue explicitement par le législateur, l’obligation de constater la nullité de cette convention ou, à la demande d’une partie, de la déclarer nulle. Il se peut en effet que, en raison de la spécificité du régime légal et des circonstances concrètes de la cause, cette sanction se révèle inadéquate au regard de l’objectif de l’objectif de la règle violée et du milieu de fait dans lequel doit intervenir la sanction. </w:t>
      </w:r>
    </w:p>
    <w:p w14:paraId="2797B08F" w14:textId="77777777" w:rsidR="00E90C75" w:rsidRDefault="00E90C75" w:rsidP="007D3068">
      <w:pPr>
        <w:jc w:val="both"/>
        <w:rPr>
          <w:rFonts w:ascii="Times New Roman" w:hAnsi="Times New Roman"/>
        </w:rPr>
      </w:pPr>
    </w:p>
    <w:p w14:paraId="6C38C8D4" w14:textId="77777777" w:rsidR="002B09C6" w:rsidRDefault="00004B2A" w:rsidP="007D3068">
      <w:pPr>
        <w:jc w:val="both"/>
        <w:rPr>
          <w:rFonts w:ascii="Times New Roman" w:hAnsi="Times New Roman"/>
        </w:rPr>
      </w:pPr>
      <w:r>
        <w:rPr>
          <w:rFonts w:ascii="Times New Roman" w:hAnsi="Times New Roman"/>
        </w:rPr>
        <w:t xml:space="preserve">L’exercice casuistique que nous recommandons n’aura-t-il pas pour conséquence de créer une insécurité juridique insoutenable ? Il comporte, cela va de soi, une part d’imprévisibilité. Il ne faudrait toutefois pas renverser les termes du problème. </w:t>
      </w:r>
      <w:r w:rsidR="002B09C6">
        <w:rPr>
          <w:rFonts w:ascii="Times New Roman" w:hAnsi="Times New Roman"/>
        </w:rPr>
        <w:t>C’est la</w:t>
      </w:r>
      <w:r>
        <w:rPr>
          <w:rFonts w:ascii="Times New Roman" w:hAnsi="Times New Roman"/>
        </w:rPr>
        <w:t xml:space="preserve"> sanction de la nullité </w:t>
      </w:r>
      <w:r w:rsidR="002B09C6">
        <w:rPr>
          <w:rFonts w:ascii="Times New Roman" w:hAnsi="Times New Roman"/>
        </w:rPr>
        <w:t>qui</w:t>
      </w:r>
      <w:r>
        <w:rPr>
          <w:rFonts w:ascii="Times New Roman" w:hAnsi="Times New Roman"/>
        </w:rPr>
        <w:t xml:space="preserve">, par son caractère radical, </w:t>
      </w:r>
      <w:r w:rsidR="002B09C6">
        <w:rPr>
          <w:rFonts w:ascii="Times New Roman" w:hAnsi="Times New Roman"/>
        </w:rPr>
        <w:t xml:space="preserve">est de nature à bouleverser les attentes légitimes des cocontractants et des tiers, surtout lorsqu’elle intervient plusieurs années après la formation d’un contrat. </w:t>
      </w:r>
    </w:p>
    <w:p w14:paraId="384777F5" w14:textId="77777777" w:rsidR="002B09C6" w:rsidRDefault="002B09C6" w:rsidP="007D3068">
      <w:pPr>
        <w:jc w:val="both"/>
        <w:rPr>
          <w:rFonts w:ascii="Times New Roman" w:hAnsi="Times New Roman"/>
        </w:rPr>
      </w:pPr>
    </w:p>
    <w:p w14:paraId="5393B75C" w14:textId="24E23757" w:rsidR="00E90C75" w:rsidRDefault="002B09C6" w:rsidP="00E90C75">
      <w:pPr>
        <w:jc w:val="both"/>
        <w:rPr>
          <w:rFonts w:ascii="Times New Roman" w:hAnsi="Times New Roman"/>
        </w:rPr>
      </w:pPr>
      <w:r>
        <w:rPr>
          <w:rFonts w:ascii="Times New Roman" w:hAnsi="Times New Roman"/>
        </w:rPr>
        <w:t>Elle peut évidemment s’avérer nécessaire lorsque, à la date où le juge statue, l’ordre public commande toujours de purger l’ordre juridique de la convention scélérate. Dans certains cas, cependant, elle peut mener à des conséquences absurdes, pour ne pas dire surréalistes. Il serait regrettable qu’un justiciable conclue, à la lecture d’une décision judiciaire, qu’a</w:t>
      </w:r>
      <w:r w:rsidR="00E90C75">
        <w:rPr>
          <w:rFonts w:ascii="Times New Roman" w:hAnsi="Times New Roman"/>
        </w:rPr>
        <w:t>u pays du surréalisme, l</w:t>
      </w:r>
      <w:r>
        <w:rPr>
          <w:rFonts w:ascii="Times New Roman" w:hAnsi="Times New Roman"/>
        </w:rPr>
        <w:t>es juristes sont rois.</w:t>
      </w:r>
    </w:p>
    <w:p w14:paraId="06BE74CE" w14:textId="77777777" w:rsidR="00E90C75" w:rsidRPr="0018242F" w:rsidRDefault="00E90C75" w:rsidP="007D3068">
      <w:pPr>
        <w:jc w:val="both"/>
        <w:rPr>
          <w:rFonts w:ascii="Times New Roman" w:hAnsi="Times New Roman"/>
        </w:rPr>
      </w:pPr>
    </w:p>
    <w:sectPr w:rsidR="00E90C75" w:rsidRPr="0018242F" w:rsidSect="00605124">
      <w:footerReference w:type="even"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4B862" w14:textId="77777777" w:rsidR="002658C8" w:rsidRDefault="002658C8" w:rsidP="00E4206B">
      <w:r>
        <w:separator/>
      </w:r>
    </w:p>
  </w:endnote>
  <w:endnote w:type="continuationSeparator" w:id="0">
    <w:p w14:paraId="6C8200E1" w14:textId="77777777" w:rsidR="002658C8" w:rsidRDefault="002658C8" w:rsidP="00E42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Mincho">
    <w:altName w:val="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E038A" w14:textId="77777777" w:rsidR="002658C8" w:rsidRDefault="002658C8" w:rsidP="00341D4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2F7156F" w14:textId="77777777" w:rsidR="002658C8" w:rsidRDefault="002658C8" w:rsidP="00341D4F">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77826" w14:textId="77777777" w:rsidR="002658C8" w:rsidRDefault="002658C8" w:rsidP="00341D4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D5129">
      <w:rPr>
        <w:rStyle w:val="Numrodepage"/>
        <w:noProof/>
      </w:rPr>
      <w:t>1</w:t>
    </w:r>
    <w:r>
      <w:rPr>
        <w:rStyle w:val="Numrodepage"/>
      </w:rPr>
      <w:fldChar w:fldCharType="end"/>
    </w:r>
  </w:p>
  <w:p w14:paraId="5E25FE3E" w14:textId="77777777" w:rsidR="002658C8" w:rsidRDefault="002658C8" w:rsidP="00341D4F">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03E32" w14:textId="77777777" w:rsidR="002658C8" w:rsidRDefault="002658C8" w:rsidP="00E4206B">
      <w:r>
        <w:separator/>
      </w:r>
    </w:p>
  </w:footnote>
  <w:footnote w:type="continuationSeparator" w:id="0">
    <w:p w14:paraId="6D134907" w14:textId="77777777" w:rsidR="002658C8" w:rsidRDefault="002658C8" w:rsidP="00E4206B">
      <w:r>
        <w:continuationSeparator/>
      </w:r>
    </w:p>
  </w:footnote>
  <w:footnote w:id="1">
    <w:p w14:paraId="44302BCD" w14:textId="18F09849"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 xml:space="preserve">J.P. Molenbeek-Saint-Jean, 12 avril 2011, </w:t>
      </w:r>
      <w:r w:rsidRPr="00CD7B80">
        <w:rPr>
          <w:i/>
          <w:sz w:val="20"/>
          <w:szCs w:val="20"/>
          <w:lang w:val="nl-NL"/>
        </w:rPr>
        <w:t>J.J.P.</w:t>
      </w:r>
      <w:r w:rsidRPr="00CD7B80">
        <w:rPr>
          <w:sz w:val="20"/>
          <w:szCs w:val="20"/>
          <w:lang w:val="nl-NL"/>
        </w:rPr>
        <w:t>, 2013/5-6, p. 283.</w:t>
      </w:r>
    </w:p>
  </w:footnote>
  <w:footnote w:id="2">
    <w:p w14:paraId="681FCFB3" w14:textId="22625254"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fr-BE"/>
        </w:rPr>
        <w:t xml:space="preserve">H. </w:t>
      </w:r>
      <w:r w:rsidRPr="00CD7B80">
        <w:rPr>
          <w:smallCaps/>
          <w:sz w:val="20"/>
          <w:szCs w:val="20"/>
          <w:lang w:val="fr-BE"/>
        </w:rPr>
        <w:t>De Page</w:t>
      </w:r>
      <w:r w:rsidRPr="00CD7B80">
        <w:rPr>
          <w:sz w:val="20"/>
          <w:szCs w:val="20"/>
          <w:lang w:val="fr-BE"/>
        </w:rPr>
        <w:t xml:space="preserve">, </w:t>
      </w:r>
      <w:r w:rsidRPr="00CD7B80">
        <w:rPr>
          <w:i/>
          <w:sz w:val="20"/>
          <w:szCs w:val="20"/>
          <w:lang w:val="fr-BE"/>
        </w:rPr>
        <w:t>Traité élémentaire de droit civil belge</w:t>
      </w:r>
      <w:r w:rsidRPr="00CD7B80">
        <w:rPr>
          <w:sz w:val="20"/>
          <w:szCs w:val="20"/>
          <w:lang w:val="fr-BE"/>
        </w:rPr>
        <w:t>, t. I, Bruxelles, Bruylant, 1964, p. 114, n°96.</w:t>
      </w:r>
    </w:p>
  </w:footnote>
  <w:footnote w:id="3">
    <w:p w14:paraId="3285E48E" w14:textId="0A206364"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La présente contribution reprend et prolonge des réflexions amorcées dans une contribution consacrée au contrat de bail (« Le juge et l'ordre public: libres propos quant à l'impact des normes régionales sur le bail à l'aune de la théorie des nullités », in </w:t>
      </w:r>
      <w:r w:rsidRPr="00CD7B80">
        <w:rPr>
          <w:i/>
          <w:sz w:val="20"/>
          <w:szCs w:val="20"/>
        </w:rPr>
        <w:t>Le bail et le contrat de vente face aux réglementations régionales (urbanisme, salubrité, PEB)</w:t>
      </w:r>
      <w:r w:rsidRPr="00CD7B80">
        <w:rPr>
          <w:sz w:val="20"/>
          <w:szCs w:val="20"/>
        </w:rPr>
        <w:t xml:space="preserve">, N. Bernard (dir.), Bruxelles, la Charte, 2015, pp. 157-187). </w:t>
      </w:r>
    </w:p>
  </w:footnote>
  <w:footnote w:id="4">
    <w:p w14:paraId="5BDCC1F0" w14:textId="1791AB61" w:rsidR="002658C8" w:rsidRPr="00CD7B80" w:rsidRDefault="002658C8" w:rsidP="00CA177F">
      <w:pPr>
        <w:jc w:val="both"/>
        <w:rPr>
          <w:sz w:val="20"/>
          <w:szCs w:val="20"/>
        </w:rPr>
      </w:pPr>
      <w:r w:rsidRPr="00CD7B80">
        <w:rPr>
          <w:rStyle w:val="Marquenotebasdepage"/>
          <w:sz w:val="20"/>
          <w:szCs w:val="20"/>
        </w:rPr>
        <w:footnoteRef/>
      </w:r>
      <w:r w:rsidRPr="00CD7B80">
        <w:rPr>
          <w:sz w:val="20"/>
          <w:szCs w:val="20"/>
        </w:rPr>
        <w:t xml:space="preserve"> </w:t>
      </w:r>
      <w:r w:rsidRPr="00CD7B80">
        <w:rPr>
          <w:sz w:val="20"/>
          <w:szCs w:val="20"/>
          <w:lang w:val="fr-BE"/>
        </w:rPr>
        <w:t>P. Van Ommeslaghe définit la nullité comme un « mode d’extinction des conventions qui sanctionne un vice affectant de manière essentielle la formation de la convention » (</w:t>
      </w:r>
      <w:r w:rsidRPr="00CD7B80">
        <w:rPr>
          <w:i/>
          <w:sz w:val="20"/>
          <w:szCs w:val="20"/>
        </w:rPr>
        <w:t>Traité de droit civil belge (De Page)</w:t>
      </w:r>
      <w:r w:rsidRPr="00CD7B80">
        <w:rPr>
          <w:sz w:val="20"/>
          <w:szCs w:val="20"/>
        </w:rPr>
        <w:t xml:space="preserve">, Bruxelles, Bruylant, 2013, t. II, vol. 2, p. 959). </w:t>
      </w:r>
      <w:r w:rsidRPr="00CD7B80">
        <w:rPr>
          <w:sz w:val="20"/>
          <w:szCs w:val="20"/>
          <w:lang w:val="nl-NL"/>
        </w:rPr>
        <w:t xml:space="preserve">Il est de jurisprudence constante que </w:t>
      </w:r>
      <w:r w:rsidRPr="00CD7B80">
        <w:rPr>
          <w:sz w:val="20"/>
          <w:szCs w:val="20"/>
        </w:rPr>
        <w:t xml:space="preserve">les conditions de validité d'un contrat s’apprécient en principe au moment de sa formation (Cass., 24 septembre 2007, </w:t>
      </w:r>
      <w:r w:rsidRPr="00CD7B80">
        <w:rPr>
          <w:i/>
          <w:sz w:val="20"/>
          <w:szCs w:val="20"/>
        </w:rPr>
        <w:t>J.L.M.B.</w:t>
      </w:r>
      <w:r w:rsidRPr="00CD7B80">
        <w:rPr>
          <w:sz w:val="20"/>
          <w:szCs w:val="20"/>
        </w:rPr>
        <w:t xml:space="preserve">, 2008, p. 1168 ; Cass., 28 novembre 2013, </w:t>
      </w:r>
      <w:r w:rsidRPr="00CD7B80">
        <w:rPr>
          <w:i/>
          <w:sz w:val="20"/>
          <w:szCs w:val="20"/>
        </w:rPr>
        <w:t>Pas</w:t>
      </w:r>
      <w:r w:rsidRPr="00CD7B80">
        <w:rPr>
          <w:sz w:val="20"/>
          <w:szCs w:val="20"/>
        </w:rPr>
        <w:t>., 2013, I, pp. 2399-2400)</w:t>
      </w:r>
      <w:r w:rsidRPr="00CD7B80">
        <w:rPr>
          <w:sz w:val="20"/>
          <w:szCs w:val="20"/>
          <w:lang w:val="fr-BE"/>
        </w:rPr>
        <w:t xml:space="preserve">. </w:t>
      </w:r>
    </w:p>
  </w:footnote>
  <w:footnote w:id="5">
    <w:p w14:paraId="06AEDD75" w14:textId="100B98D5"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 xml:space="preserve">Voy. notamment les articles 931 (donation) et 1250, 2° (subrogation conventionnelle consentie par le débiteur) du Code civil. Sur la question, voy. </w:t>
      </w:r>
      <w:r w:rsidRPr="00CD7B80">
        <w:rPr>
          <w:sz w:val="20"/>
          <w:szCs w:val="20"/>
        </w:rPr>
        <w:t xml:space="preserve">P. </w:t>
      </w:r>
      <w:r w:rsidRPr="00CD7B80">
        <w:rPr>
          <w:smallCaps/>
          <w:sz w:val="20"/>
          <w:szCs w:val="20"/>
        </w:rPr>
        <w:t>Wéry</w:t>
      </w:r>
      <w:r w:rsidRPr="00CD7B80">
        <w:rPr>
          <w:sz w:val="20"/>
          <w:szCs w:val="20"/>
        </w:rPr>
        <w:t xml:space="preserve">, « La théorie générale du contrat », </w:t>
      </w:r>
      <w:r w:rsidRPr="00CD7B80">
        <w:rPr>
          <w:i/>
          <w:sz w:val="20"/>
          <w:szCs w:val="20"/>
        </w:rPr>
        <w:t>Rép. not</w:t>
      </w:r>
      <w:r w:rsidRPr="00CD7B80">
        <w:rPr>
          <w:sz w:val="20"/>
          <w:szCs w:val="20"/>
        </w:rPr>
        <w:t>., Tome IV, Les obligations, Livre 1/1, Bruxelles, Larcier, 2010, n° 63 et, de façon plus approfondie,</w:t>
      </w:r>
      <w:r w:rsidRPr="00CD7B80">
        <w:rPr>
          <w:sz w:val="20"/>
          <w:szCs w:val="20"/>
          <w:lang w:val="nl-NL"/>
        </w:rPr>
        <w:t xml:space="preserve"> H. </w:t>
      </w:r>
      <w:r w:rsidRPr="00CD7B80">
        <w:rPr>
          <w:smallCaps/>
          <w:sz w:val="20"/>
          <w:szCs w:val="20"/>
          <w:lang w:val="nl-NL"/>
        </w:rPr>
        <w:t>Jacquemin</w:t>
      </w:r>
      <w:r w:rsidRPr="00CD7B80">
        <w:rPr>
          <w:sz w:val="20"/>
          <w:szCs w:val="20"/>
          <w:lang w:val="nl-NL"/>
        </w:rPr>
        <w:t xml:space="preserve">, </w:t>
      </w:r>
      <w:r w:rsidRPr="00CD7B80">
        <w:rPr>
          <w:i/>
          <w:sz w:val="20"/>
          <w:szCs w:val="20"/>
          <w:lang w:val="fr-BE"/>
        </w:rPr>
        <w:t>Le formalisme contractuel. Mécanisme de protection de la partie faible</w:t>
      </w:r>
      <w:r w:rsidRPr="00CD7B80">
        <w:rPr>
          <w:sz w:val="20"/>
          <w:szCs w:val="20"/>
          <w:lang w:val="fr-BE"/>
        </w:rPr>
        <w:t xml:space="preserve">, Bruxelles, Larcier, 2010. En ce qui concerne la donation, la portée de l’article 931 du Code civil est d’autant plus restreinte que le </w:t>
      </w:r>
      <w:r w:rsidRPr="00CD7B80">
        <w:rPr>
          <w:sz w:val="20"/>
          <w:szCs w:val="20"/>
        </w:rPr>
        <w:t xml:space="preserve">don manuel de biens meubles entre vifs lui échappe (Cass., 12 septembre 2014, </w:t>
      </w:r>
      <w:r w:rsidRPr="00CD7B80">
        <w:rPr>
          <w:i/>
          <w:sz w:val="20"/>
          <w:szCs w:val="20"/>
        </w:rPr>
        <w:t>Pas</w:t>
      </w:r>
      <w:r w:rsidRPr="00CD7B80">
        <w:rPr>
          <w:sz w:val="20"/>
          <w:szCs w:val="20"/>
        </w:rPr>
        <w:t>., I, liv. 9, n°1854).</w:t>
      </w:r>
    </w:p>
  </w:footnote>
  <w:footnote w:id="6">
    <w:p w14:paraId="0B8196E9" w14:textId="7216210A"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H. </w:t>
      </w:r>
      <w:r w:rsidRPr="00CD7B80">
        <w:rPr>
          <w:smallCaps/>
          <w:sz w:val="20"/>
          <w:szCs w:val="20"/>
        </w:rPr>
        <w:t>De</w:t>
      </w:r>
      <w:r w:rsidRPr="00CD7B80">
        <w:rPr>
          <w:sz w:val="20"/>
          <w:szCs w:val="20"/>
        </w:rPr>
        <w:t xml:space="preserve"> </w:t>
      </w:r>
      <w:r w:rsidRPr="00CD7B80">
        <w:rPr>
          <w:smallCaps/>
          <w:sz w:val="20"/>
          <w:szCs w:val="20"/>
        </w:rPr>
        <w:t>Page</w:t>
      </w:r>
      <w:r w:rsidRPr="00CD7B80">
        <w:rPr>
          <w:sz w:val="20"/>
          <w:szCs w:val="20"/>
        </w:rPr>
        <w:t xml:space="preserve">, </w:t>
      </w:r>
      <w:r w:rsidRPr="00CD7B80">
        <w:rPr>
          <w:i/>
          <w:sz w:val="20"/>
          <w:szCs w:val="20"/>
        </w:rPr>
        <w:t>Traité élémentaire de droit civil belge</w:t>
      </w:r>
      <w:r w:rsidRPr="00CD7B80">
        <w:rPr>
          <w:sz w:val="20"/>
          <w:szCs w:val="20"/>
        </w:rPr>
        <w:t xml:space="preserve">, </w:t>
      </w:r>
      <w:r w:rsidRPr="00CD7B80">
        <w:rPr>
          <w:i/>
          <w:sz w:val="20"/>
          <w:szCs w:val="20"/>
        </w:rPr>
        <w:t>op. cit.</w:t>
      </w:r>
      <w:r w:rsidRPr="00CD7B80">
        <w:rPr>
          <w:sz w:val="20"/>
          <w:szCs w:val="20"/>
        </w:rPr>
        <w:t xml:space="preserve">, t. II, p. 420. </w:t>
      </w:r>
    </w:p>
  </w:footnote>
  <w:footnote w:id="7">
    <w:p w14:paraId="269F47A9" w14:textId="521E171E"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i/>
          <w:sz w:val="20"/>
          <w:szCs w:val="20"/>
          <w:lang w:val="fr-BE"/>
        </w:rPr>
        <w:t>Ibid</w:t>
      </w:r>
      <w:r w:rsidRPr="00CD7B80">
        <w:rPr>
          <w:sz w:val="20"/>
          <w:szCs w:val="20"/>
          <w:lang w:val="fr-BE"/>
        </w:rPr>
        <w:t>.</w:t>
      </w:r>
      <w:r w:rsidRPr="00CD7B80">
        <w:rPr>
          <w:i/>
          <w:sz w:val="20"/>
          <w:szCs w:val="20"/>
          <w:lang w:val="nl-NL"/>
        </w:rPr>
        <w:t>,</w:t>
      </w:r>
      <w:r w:rsidRPr="00CD7B80">
        <w:rPr>
          <w:sz w:val="20"/>
          <w:szCs w:val="20"/>
          <w:lang w:val="fr-BE"/>
        </w:rPr>
        <w:t xml:space="preserve"> t. II, p. 758, n°785. Il évoquait notamment les règles prévoyant les formalités imposées par la loi aux actes passés par les représentants légaux des incapables (p. 741, n°775). Voy. également </w:t>
      </w:r>
      <w:r w:rsidRPr="00CD7B80">
        <w:rPr>
          <w:sz w:val="20"/>
          <w:szCs w:val="20"/>
        </w:rPr>
        <w:t xml:space="preserve">R. </w:t>
      </w:r>
      <w:r w:rsidRPr="00CD7B80">
        <w:rPr>
          <w:smallCaps/>
          <w:sz w:val="20"/>
          <w:szCs w:val="20"/>
        </w:rPr>
        <w:t>Hardy</w:t>
      </w:r>
      <w:r w:rsidRPr="00CD7B80">
        <w:rPr>
          <w:sz w:val="20"/>
          <w:szCs w:val="20"/>
        </w:rPr>
        <w:t xml:space="preserve">, « Le juge doit-il soulever d’office la nullité relative d’un contrat, d’une clause contractuelle ou d’un acte ? » in </w:t>
      </w:r>
      <w:r w:rsidRPr="00CD7B80">
        <w:rPr>
          <w:i/>
          <w:sz w:val="20"/>
          <w:szCs w:val="20"/>
        </w:rPr>
        <w:t>Liber Amicorum François Glansdorff et Pierre Legros</w:t>
      </w:r>
      <w:r w:rsidRPr="00CD7B80">
        <w:rPr>
          <w:sz w:val="20"/>
          <w:szCs w:val="20"/>
        </w:rPr>
        <w:t xml:space="preserve">, Bruxelles, Bruylant, 2013, p. 601 ; P. </w:t>
      </w:r>
      <w:r w:rsidRPr="00CD7B80">
        <w:rPr>
          <w:smallCaps/>
          <w:sz w:val="20"/>
          <w:szCs w:val="20"/>
        </w:rPr>
        <w:t>Van Ommeslaghe</w:t>
      </w:r>
      <w:r w:rsidRPr="00CD7B80">
        <w:rPr>
          <w:sz w:val="20"/>
          <w:szCs w:val="20"/>
        </w:rPr>
        <w:t xml:space="preserve">, </w:t>
      </w:r>
      <w:r w:rsidRPr="00CD7B80">
        <w:rPr>
          <w:i/>
          <w:sz w:val="20"/>
          <w:szCs w:val="20"/>
        </w:rPr>
        <w:t>Traité de droit civil belge (De Page)</w:t>
      </w:r>
      <w:r w:rsidRPr="00CD7B80">
        <w:rPr>
          <w:sz w:val="20"/>
          <w:szCs w:val="20"/>
        </w:rPr>
        <w:t xml:space="preserve">, </w:t>
      </w:r>
      <w:r w:rsidRPr="00CD7B80">
        <w:rPr>
          <w:i/>
          <w:sz w:val="20"/>
          <w:szCs w:val="20"/>
        </w:rPr>
        <w:t>op. cit.</w:t>
      </w:r>
      <w:r w:rsidRPr="00CD7B80">
        <w:rPr>
          <w:sz w:val="20"/>
          <w:szCs w:val="20"/>
        </w:rPr>
        <w:t xml:space="preserve">, t. II, vol. 2, p. 964. </w:t>
      </w:r>
    </w:p>
  </w:footnote>
  <w:footnote w:id="8">
    <w:p w14:paraId="146E05DE" w14:textId="5EB81D79" w:rsidR="002658C8" w:rsidRPr="00CD7B80" w:rsidRDefault="002658C8" w:rsidP="00CA177F">
      <w:pPr>
        <w:pStyle w:val="Notedebasdepage"/>
        <w:jc w:val="both"/>
        <w:rPr>
          <w:sz w:val="20"/>
          <w:szCs w:val="20"/>
        </w:rPr>
      </w:pPr>
      <w:r w:rsidRPr="00CD7B80">
        <w:rPr>
          <w:rStyle w:val="Marquenotebasdepage"/>
          <w:sz w:val="20"/>
          <w:szCs w:val="20"/>
        </w:rPr>
        <w:footnoteRef/>
      </w:r>
      <w:r w:rsidRPr="00CD7B80">
        <w:rPr>
          <w:sz w:val="20"/>
          <w:szCs w:val="20"/>
        </w:rPr>
        <w:t xml:space="preserve"> P. </w:t>
      </w:r>
      <w:r w:rsidRPr="00CD7B80">
        <w:rPr>
          <w:smallCaps/>
          <w:sz w:val="20"/>
          <w:szCs w:val="20"/>
        </w:rPr>
        <w:t>Wéry</w:t>
      </w:r>
      <w:r w:rsidRPr="00CD7B80">
        <w:rPr>
          <w:sz w:val="20"/>
          <w:szCs w:val="20"/>
        </w:rPr>
        <w:t>, « La régularisation d’un contrat entaché d’une cause de nullité », note sous Liège (14</w:t>
      </w:r>
      <w:r w:rsidRPr="00CD7B80">
        <w:rPr>
          <w:sz w:val="20"/>
          <w:szCs w:val="20"/>
          <w:vertAlign w:val="superscript"/>
        </w:rPr>
        <w:t>e</w:t>
      </w:r>
      <w:r w:rsidRPr="00CD7B80">
        <w:rPr>
          <w:sz w:val="20"/>
          <w:szCs w:val="20"/>
        </w:rPr>
        <w:t xml:space="preserve"> ch.), 23 décembre 2014, </w:t>
      </w:r>
      <w:r w:rsidRPr="00CD7B80">
        <w:rPr>
          <w:i/>
          <w:sz w:val="20"/>
          <w:szCs w:val="20"/>
        </w:rPr>
        <w:t>J.L.M.B.</w:t>
      </w:r>
      <w:r w:rsidRPr="00CD7B80">
        <w:rPr>
          <w:sz w:val="20"/>
          <w:szCs w:val="20"/>
        </w:rPr>
        <w:t>, 2016, p. 295.</w:t>
      </w:r>
    </w:p>
  </w:footnote>
  <w:footnote w:id="9">
    <w:p w14:paraId="3CD36FB2" w14:textId="1FDD38F3"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De nombreux tempéraments à ce principe existent toutefois, qui feront l’objet d’autres contributions dans cet ouvrage (notamment celle </w:t>
      </w:r>
      <w:r w:rsidRPr="00CD7B80">
        <w:rPr>
          <w:sz w:val="20"/>
          <w:szCs w:val="20"/>
          <w:lang w:val="nl-NL"/>
        </w:rPr>
        <w:t>de G. Fruy et N. Vandenberghe, qui examine spécifiquement les effets de la nullité).</w:t>
      </w:r>
    </w:p>
  </w:footnote>
  <w:footnote w:id="10">
    <w:p w14:paraId="128BB2EB" w14:textId="6B0E811F" w:rsidR="002658C8" w:rsidRPr="00CD7B80" w:rsidRDefault="002658C8" w:rsidP="00CA177F">
      <w:pPr>
        <w:jc w:val="both"/>
        <w:rPr>
          <w:sz w:val="20"/>
          <w:szCs w:val="20"/>
          <w:lang w:val="fr-BE"/>
        </w:rPr>
      </w:pPr>
      <w:r w:rsidRPr="00CD7B80">
        <w:rPr>
          <w:rStyle w:val="Marquenotebasdepage"/>
          <w:sz w:val="20"/>
          <w:szCs w:val="20"/>
        </w:rPr>
        <w:footnoteRef/>
      </w:r>
      <w:r w:rsidRPr="00CD7B80">
        <w:rPr>
          <w:sz w:val="20"/>
          <w:szCs w:val="20"/>
        </w:rPr>
        <w:t xml:space="preserve"> </w:t>
      </w:r>
      <w:r w:rsidRPr="00CD7B80">
        <w:rPr>
          <w:sz w:val="20"/>
          <w:szCs w:val="20"/>
          <w:lang w:val="fr-BE"/>
        </w:rPr>
        <w:t xml:space="preserve">H. </w:t>
      </w:r>
      <w:r w:rsidRPr="00CD7B80">
        <w:rPr>
          <w:smallCaps/>
          <w:sz w:val="20"/>
          <w:szCs w:val="20"/>
          <w:lang w:val="fr-BE"/>
        </w:rPr>
        <w:t>De</w:t>
      </w:r>
      <w:r w:rsidRPr="00CD7B80">
        <w:rPr>
          <w:sz w:val="20"/>
          <w:szCs w:val="20"/>
          <w:lang w:val="fr-BE"/>
        </w:rPr>
        <w:t xml:space="preserve"> </w:t>
      </w:r>
      <w:r w:rsidRPr="00CD7B80">
        <w:rPr>
          <w:smallCaps/>
          <w:sz w:val="20"/>
          <w:szCs w:val="20"/>
          <w:lang w:val="fr-BE"/>
        </w:rPr>
        <w:t>Page</w:t>
      </w:r>
      <w:r w:rsidRPr="00CD7B80">
        <w:rPr>
          <w:sz w:val="20"/>
          <w:szCs w:val="20"/>
          <w:lang w:val="fr-BE"/>
        </w:rPr>
        <w:t xml:space="preserve">, </w:t>
      </w:r>
      <w:r w:rsidRPr="00CD7B80">
        <w:rPr>
          <w:i/>
          <w:sz w:val="20"/>
          <w:szCs w:val="20"/>
          <w:lang w:val="fr-BE"/>
        </w:rPr>
        <w:t>Traité élémentaire de droit civil belge</w:t>
      </w:r>
      <w:r w:rsidRPr="00CD7B80">
        <w:rPr>
          <w:sz w:val="20"/>
          <w:szCs w:val="20"/>
          <w:lang w:val="fr-BE"/>
        </w:rPr>
        <w:t xml:space="preserve">, </w:t>
      </w:r>
      <w:r w:rsidRPr="00CD7B80">
        <w:rPr>
          <w:i/>
          <w:sz w:val="20"/>
          <w:szCs w:val="20"/>
          <w:lang w:val="nl-NL"/>
        </w:rPr>
        <w:t>op. cit.</w:t>
      </w:r>
      <w:r w:rsidRPr="00CD7B80">
        <w:rPr>
          <w:sz w:val="20"/>
          <w:szCs w:val="20"/>
          <w:lang w:val="fr-BE"/>
        </w:rPr>
        <w:t>, p. 748, n°780.</w:t>
      </w:r>
    </w:p>
  </w:footnote>
  <w:footnote w:id="11">
    <w:p w14:paraId="145BA423" w14:textId="77777777" w:rsidR="002658C8" w:rsidRPr="00CD7B80" w:rsidRDefault="002658C8" w:rsidP="00CA177F">
      <w:pPr>
        <w:jc w:val="both"/>
        <w:rPr>
          <w:sz w:val="20"/>
          <w:szCs w:val="20"/>
          <w:lang w:val="fr-BE"/>
        </w:rPr>
      </w:pPr>
      <w:r w:rsidRPr="00CD7B80">
        <w:rPr>
          <w:rStyle w:val="Marquenotebasdepage"/>
          <w:sz w:val="20"/>
          <w:szCs w:val="20"/>
        </w:rPr>
        <w:footnoteRef/>
      </w:r>
      <w:r w:rsidRPr="00CD7B80">
        <w:rPr>
          <w:sz w:val="20"/>
          <w:szCs w:val="20"/>
        </w:rPr>
        <w:t xml:space="preserve"> </w:t>
      </w:r>
      <w:r w:rsidRPr="00CD7B80">
        <w:rPr>
          <w:i/>
          <w:sz w:val="20"/>
          <w:szCs w:val="20"/>
          <w:lang w:val="fr-BE"/>
        </w:rPr>
        <w:t>Ibidem</w:t>
      </w:r>
      <w:r w:rsidRPr="00CD7B80">
        <w:rPr>
          <w:sz w:val="20"/>
          <w:szCs w:val="20"/>
          <w:lang w:val="fr-BE"/>
        </w:rPr>
        <w:t>, p. 740, n°775.</w:t>
      </w:r>
    </w:p>
  </w:footnote>
  <w:footnote w:id="12">
    <w:p w14:paraId="43EB9534" w14:textId="77777777"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 xml:space="preserve">M. </w:t>
      </w:r>
      <w:r w:rsidRPr="00CD7B80">
        <w:rPr>
          <w:smallCaps/>
          <w:sz w:val="20"/>
          <w:szCs w:val="20"/>
          <w:lang w:val="nl-NL"/>
        </w:rPr>
        <w:t>Coipel</w:t>
      </w:r>
      <w:r w:rsidRPr="00CD7B80">
        <w:rPr>
          <w:sz w:val="20"/>
          <w:szCs w:val="20"/>
          <w:lang w:val="nl-NL"/>
        </w:rPr>
        <w:t xml:space="preserve">, </w:t>
      </w:r>
      <w:r w:rsidRPr="00CD7B80">
        <w:rPr>
          <w:i/>
          <w:sz w:val="20"/>
          <w:szCs w:val="20"/>
          <w:lang w:val="nl-NL"/>
        </w:rPr>
        <w:t>Eléments de théorie générale des contrats</w:t>
      </w:r>
      <w:r w:rsidRPr="00CD7B80">
        <w:rPr>
          <w:sz w:val="20"/>
          <w:szCs w:val="20"/>
          <w:lang w:val="nl-NL"/>
        </w:rPr>
        <w:t xml:space="preserve">, Kluwer-E. Story-Scientia, 1999, p. 71. </w:t>
      </w:r>
    </w:p>
  </w:footnote>
  <w:footnote w:id="13">
    <w:p w14:paraId="3FC7C222" w14:textId="00D2E127" w:rsidR="002658C8" w:rsidRPr="00CD7B80" w:rsidRDefault="002658C8" w:rsidP="00CA177F">
      <w:pPr>
        <w:pStyle w:val="Notedebasdepage"/>
        <w:jc w:val="both"/>
        <w:rPr>
          <w:sz w:val="20"/>
          <w:szCs w:val="20"/>
          <w:lang w:val="fr-BE"/>
        </w:rPr>
      </w:pPr>
      <w:r w:rsidRPr="00CD7B80">
        <w:rPr>
          <w:rStyle w:val="Marquenotebasdepage"/>
          <w:sz w:val="20"/>
          <w:szCs w:val="20"/>
        </w:rPr>
        <w:footnoteRef/>
      </w:r>
      <w:r w:rsidRPr="00CD7B80">
        <w:rPr>
          <w:sz w:val="20"/>
          <w:szCs w:val="20"/>
        </w:rPr>
        <w:t xml:space="preserve"> P. </w:t>
      </w:r>
      <w:r w:rsidRPr="00CD7B80">
        <w:rPr>
          <w:smallCaps/>
          <w:sz w:val="20"/>
          <w:szCs w:val="20"/>
        </w:rPr>
        <w:t>Van Ommeslaghe</w:t>
      </w:r>
      <w:r w:rsidRPr="00CD7B80">
        <w:rPr>
          <w:sz w:val="20"/>
          <w:szCs w:val="20"/>
        </w:rPr>
        <w:t xml:space="preserve">, </w:t>
      </w:r>
      <w:r w:rsidRPr="00CD7B80">
        <w:rPr>
          <w:i/>
          <w:sz w:val="20"/>
          <w:szCs w:val="20"/>
        </w:rPr>
        <w:t>Traité de droit civil belge (De Page)</w:t>
      </w:r>
      <w:r w:rsidRPr="00CD7B80">
        <w:rPr>
          <w:sz w:val="20"/>
          <w:szCs w:val="20"/>
        </w:rPr>
        <w:t xml:space="preserve">, </w:t>
      </w:r>
      <w:r w:rsidRPr="00CD7B80">
        <w:rPr>
          <w:i/>
          <w:sz w:val="20"/>
          <w:szCs w:val="20"/>
          <w:lang w:val="nl-NL"/>
        </w:rPr>
        <w:t>op. cit.</w:t>
      </w:r>
      <w:r w:rsidRPr="00CD7B80">
        <w:rPr>
          <w:sz w:val="20"/>
          <w:szCs w:val="20"/>
        </w:rPr>
        <w:t xml:space="preserve">, p. 970 ; M. </w:t>
      </w:r>
      <w:r w:rsidRPr="00CD7B80">
        <w:rPr>
          <w:smallCaps/>
          <w:sz w:val="20"/>
          <w:szCs w:val="20"/>
        </w:rPr>
        <w:t>Dupont</w:t>
      </w:r>
      <w:r w:rsidRPr="00CD7B80">
        <w:rPr>
          <w:sz w:val="20"/>
          <w:szCs w:val="20"/>
        </w:rPr>
        <w:t xml:space="preserve">, « Nullité absolue et nullité relative », in </w:t>
      </w:r>
      <w:r w:rsidRPr="00CD7B80">
        <w:rPr>
          <w:i/>
          <w:sz w:val="20"/>
          <w:szCs w:val="20"/>
        </w:rPr>
        <w:t>La nullité des contrats</w:t>
      </w:r>
      <w:r w:rsidRPr="00CD7B80">
        <w:rPr>
          <w:sz w:val="20"/>
          <w:szCs w:val="20"/>
        </w:rPr>
        <w:t xml:space="preserve">, P. Wéry (dir.), Bruxelles, Larcier, CUP, vol. 88, 2006, p. 57. </w:t>
      </w:r>
    </w:p>
  </w:footnote>
  <w:footnote w:id="14">
    <w:p w14:paraId="6D6F6ED0" w14:textId="77777777" w:rsidR="002658C8" w:rsidRPr="00CD7B80" w:rsidRDefault="002658C8" w:rsidP="00CA177F">
      <w:pPr>
        <w:jc w:val="both"/>
        <w:rPr>
          <w:sz w:val="20"/>
          <w:szCs w:val="20"/>
          <w:lang w:val="fr-BE"/>
        </w:rPr>
      </w:pPr>
      <w:r w:rsidRPr="00CD7B80">
        <w:rPr>
          <w:rStyle w:val="Marquenotebasdepage"/>
          <w:sz w:val="20"/>
          <w:szCs w:val="20"/>
        </w:rPr>
        <w:footnoteRef/>
      </w:r>
      <w:r w:rsidRPr="00CD7B80">
        <w:rPr>
          <w:sz w:val="20"/>
          <w:szCs w:val="20"/>
        </w:rPr>
        <w:t xml:space="preserve"> </w:t>
      </w:r>
      <w:r w:rsidRPr="00CD7B80">
        <w:rPr>
          <w:sz w:val="20"/>
          <w:szCs w:val="20"/>
          <w:lang w:val="fr-BE"/>
        </w:rPr>
        <w:t xml:space="preserve">P. </w:t>
      </w:r>
      <w:r w:rsidRPr="00CD7B80">
        <w:rPr>
          <w:smallCaps/>
          <w:sz w:val="20"/>
          <w:szCs w:val="20"/>
          <w:lang w:val="fr-BE"/>
        </w:rPr>
        <w:t>Wéry</w:t>
      </w:r>
      <w:r w:rsidRPr="00CD7B80">
        <w:rPr>
          <w:sz w:val="20"/>
          <w:szCs w:val="20"/>
          <w:lang w:val="fr-BE"/>
        </w:rPr>
        <w:t xml:space="preserve">, </w:t>
      </w:r>
      <w:r w:rsidRPr="00CD7B80">
        <w:rPr>
          <w:i/>
          <w:sz w:val="20"/>
          <w:szCs w:val="20"/>
          <w:lang w:val="fr-BE"/>
        </w:rPr>
        <w:t>Droit des obligations</w:t>
      </w:r>
      <w:r w:rsidRPr="00CD7B80">
        <w:rPr>
          <w:sz w:val="20"/>
          <w:szCs w:val="20"/>
          <w:lang w:val="fr-BE"/>
        </w:rPr>
        <w:t xml:space="preserve">, Bruxelles, Larcier, 2011, vol. 1, p. 317. </w:t>
      </w:r>
    </w:p>
  </w:footnote>
  <w:footnote w:id="15">
    <w:p w14:paraId="67E135C9" w14:textId="71E57ADE"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Cass. 21 octobre 1971, </w:t>
      </w:r>
      <w:r w:rsidRPr="00CD7B80">
        <w:rPr>
          <w:i/>
          <w:sz w:val="20"/>
          <w:szCs w:val="20"/>
        </w:rPr>
        <w:t>Pas</w:t>
      </w:r>
      <w:r w:rsidRPr="00CD7B80">
        <w:rPr>
          <w:sz w:val="20"/>
          <w:szCs w:val="20"/>
        </w:rPr>
        <w:t xml:space="preserve">., 1972, p. 174 ; </w:t>
      </w:r>
      <w:r w:rsidRPr="00CD7B80">
        <w:rPr>
          <w:i/>
          <w:sz w:val="20"/>
          <w:szCs w:val="20"/>
        </w:rPr>
        <w:t>R.C.J.B</w:t>
      </w:r>
      <w:r w:rsidRPr="00CD7B80">
        <w:rPr>
          <w:sz w:val="20"/>
          <w:szCs w:val="20"/>
        </w:rPr>
        <w:t xml:space="preserve">., 1972, p. 415 et note Fr. </w:t>
      </w:r>
      <w:r w:rsidRPr="00CD7B80">
        <w:rPr>
          <w:smallCaps/>
          <w:sz w:val="20"/>
          <w:szCs w:val="20"/>
        </w:rPr>
        <w:t>Rigaux</w:t>
      </w:r>
      <w:r w:rsidRPr="00CD7B80">
        <w:rPr>
          <w:sz w:val="20"/>
          <w:szCs w:val="20"/>
        </w:rPr>
        <w:t>.</w:t>
      </w:r>
    </w:p>
  </w:footnote>
  <w:footnote w:id="16">
    <w:p w14:paraId="013E8F13" w14:textId="4DF57A18" w:rsidR="002658C8" w:rsidRPr="00CD7B80" w:rsidRDefault="002658C8" w:rsidP="00CA177F">
      <w:pPr>
        <w:jc w:val="both"/>
        <w:rPr>
          <w:sz w:val="20"/>
          <w:szCs w:val="20"/>
          <w:lang w:val="fr-BE"/>
        </w:rPr>
      </w:pPr>
      <w:r w:rsidRPr="00CD7B80">
        <w:rPr>
          <w:rStyle w:val="Marquenotebasdepage"/>
          <w:sz w:val="20"/>
          <w:szCs w:val="20"/>
        </w:rPr>
        <w:footnoteRef/>
      </w:r>
      <w:r w:rsidRPr="00CD7B80">
        <w:rPr>
          <w:sz w:val="20"/>
          <w:szCs w:val="20"/>
        </w:rPr>
        <w:t xml:space="preserve"> P. </w:t>
      </w:r>
      <w:r w:rsidRPr="00CD7B80">
        <w:rPr>
          <w:smallCaps/>
          <w:sz w:val="20"/>
          <w:szCs w:val="20"/>
        </w:rPr>
        <w:t>Harmel</w:t>
      </w:r>
      <w:r w:rsidRPr="00CD7B80">
        <w:rPr>
          <w:sz w:val="20"/>
          <w:szCs w:val="20"/>
        </w:rPr>
        <w:t xml:space="preserve">, « Vente – Théorie générale », </w:t>
      </w:r>
      <w:r w:rsidRPr="00CD7B80">
        <w:rPr>
          <w:i/>
          <w:sz w:val="20"/>
          <w:szCs w:val="20"/>
        </w:rPr>
        <w:t>Rép. not.</w:t>
      </w:r>
      <w:r w:rsidRPr="00CD7B80">
        <w:rPr>
          <w:sz w:val="20"/>
          <w:szCs w:val="20"/>
        </w:rPr>
        <w:t xml:space="preserve">, Tome VII, La vente, Livre 1, Bruxelles, Larcier, 1985, n°487 ; M. </w:t>
      </w:r>
      <w:r w:rsidRPr="00CD7B80">
        <w:rPr>
          <w:smallCaps/>
          <w:sz w:val="20"/>
          <w:szCs w:val="20"/>
        </w:rPr>
        <w:t>Dupont</w:t>
      </w:r>
      <w:r w:rsidRPr="00CD7B80">
        <w:rPr>
          <w:sz w:val="20"/>
          <w:szCs w:val="20"/>
        </w:rPr>
        <w:t xml:space="preserve">, « Nullité absolue et nullité relative », </w:t>
      </w:r>
      <w:r w:rsidRPr="00CD7B80">
        <w:rPr>
          <w:i/>
          <w:sz w:val="20"/>
          <w:szCs w:val="20"/>
        </w:rPr>
        <w:t>op. cit.</w:t>
      </w:r>
      <w:r w:rsidRPr="00CD7B80">
        <w:rPr>
          <w:sz w:val="20"/>
          <w:szCs w:val="20"/>
        </w:rPr>
        <w:t xml:space="preserve">, p. 57 ; P. </w:t>
      </w:r>
      <w:r w:rsidRPr="00CD7B80">
        <w:rPr>
          <w:smallCaps/>
          <w:sz w:val="20"/>
          <w:szCs w:val="20"/>
        </w:rPr>
        <w:t>Wéry</w:t>
      </w:r>
      <w:r w:rsidRPr="00CD7B80">
        <w:rPr>
          <w:sz w:val="20"/>
          <w:szCs w:val="20"/>
        </w:rPr>
        <w:t xml:space="preserve">, « La théorie générale du contrat », </w:t>
      </w:r>
      <w:r w:rsidRPr="00CD7B80">
        <w:rPr>
          <w:i/>
          <w:sz w:val="20"/>
          <w:szCs w:val="20"/>
        </w:rPr>
        <w:t>Rép. not</w:t>
      </w:r>
      <w:r w:rsidRPr="00CD7B80">
        <w:rPr>
          <w:sz w:val="20"/>
          <w:szCs w:val="20"/>
        </w:rPr>
        <w:t>., Tome IV, Les obligations, Livre 1/1, Bruxelles, Larcier, 2010, n°325. </w:t>
      </w:r>
      <w:r w:rsidRPr="00CD7B80">
        <w:rPr>
          <w:sz w:val="20"/>
          <w:szCs w:val="20"/>
          <w:lang w:val="fr-BE"/>
        </w:rPr>
        <w:t xml:space="preserve">Voy. cependant les conclusions de l’Avocat général Génicot rendues avant un arrêt du 5 mars 2012 dans lesquelles il semble considérer que </w:t>
      </w:r>
      <w:r w:rsidRPr="00CD7B80">
        <w:rPr>
          <w:rFonts w:eastAsia="Times New Roman"/>
          <w:sz w:val="20"/>
          <w:szCs w:val="20"/>
        </w:rPr>
        <w:t>« la nature de l'irrégularité sanctionnant le contrat subséquent à l’acte détachable annulé » n’est pas un vice mais une absence de consentement, qui doit être frappée de nullité absolue (</w:t>
      </w:r>
      <w:r w:rsidRPr="00CD7B80">
        <w:rPr>
          <w:rFonts w:eastAsia="Times New Roman"/>
          <w:i/>
          <w:sz w:val="20"/>
          <w:szCs w:val="20"/>
        </w:rPr>
        <w:t>MCPOoO</w:t>
      </w:r>
      <w:r w:rsidRPr="00CD7B80">
        <w:rPr>
          <w:rFonts w:eastAsia="Times New Roman"/>
          <w:sz w:val="20"/>
          <w:szCs w:val="20"/>
        </w:rPr>
        <w:t>, 2012/01, p. 63 et s.). La Cour de cassation l’a suivi mais la motivation de l’arrêt ne permet pas de déterminer si la nullité visée est relative ou absolue. P. Goffaux et M. Lucas défendent l’idée selon laquelle l’absence de consentement de l’autorité publique doit entraîner la nullité absolue du contrat concerné (</w:t>
      </w:r>
      <w:r w:rsidRPr="00CD7B80">
        <w:rPr>
          <w:sz w:val="20"/>
          <w:szCs w:val="20"/>
        </w:rPr>
        <w:t xml:space="preserve">« Des effets sur le contrat de l’annulation par le Conseil d’État de la décision d’attribuer un marché public », </w:t>
      </w:r>
      <w:r w:rsidRPr="00CD7B80">
        <w:rPr>
          <w:i/>
          <w:sz w:val="20"/>
          <w:szCs w:val="20"/>
        </w:rPr>
        <w:t>A.P.T</w:t>
      </w:r>
      <w:r w:rsidRPr="00CD7B80">
        <w:rPr>
          <w:sz w:val="20"/>
          <w:szCs w:val="20"/>
        </w:rPr>
        <w:t>., 1998, t. I, p. 64).</w:t>
      </w:r>
    </w:p>
  </w:footnote>
  <w:footnote w:id="17">
    <w:p w14:paraId="1F1BE18D" w14:textId="22A886B5" w:rsidR="002658C8" w:rsidRPr="00CD7B80" w:rsidRDefault="002658C8" w:rsidP="00CA177F">
      <w:pPr>
        <w:jc w:val="both"/>
        <w:rPr>
          <w:sz w:val="20"/>
          <w:szCs w:val="20"/>
          <w:lang w:val="fr-BE"/>
        </w:rPr>
      </w:pPr>
      <w:r w:rsidRPr="00CD7B80">
        <w:rPr>
          <w:rStyle w:val="Marquenotebasdepage"/>
          <w:sz w:val="20"/>
          <w:szCs w:val="20"/>
        </w:rPr>
        <w:footnoteRef/>
      </w:r>
      <w:r w:rsidRPr="00CD7B80">
        <w:rPr>
          <w:sz w:val="20"/>
          <w:szCs w:val="20"/>
        </w:rPr>
        <w:t xml:space="preserve"> </w:t>
      </w:r>
      <w:r w:rsidRPr="00CD7B80">
        <w:rPr>
          <w:sz w:val="20"/>
          <w:szCs w:val="20"/>
          <w:lang w:val="fr-BE"/>
        </w:rPr>
        <w:t xml:space="preserve">H. </w:t>
      </w:r>
      <w:r w:rsidRPr="00CD7B80">
        <w:rPr>
          <w:smallCaps/>
          <w:sz w:val="20"/>
          <w:szCs w:val="20"/>
          <w:lang w:val="fr-BE"/>
        </w:rPr>
        <w:t>De</w:t>
      </w:r>
      <w:r w:rsidRPr="00CD7B80">
        <w:rPr>
          <w:sz w:val="20"/>
          <w:szCs w:val="20"/>
          <w:lang w:val="fr-BE"/>
        </w:rPr>
        <w:t xml:space="preserve"> </w:t>
      </w:r>
      <w:r w:rsidRPr="00CD7B80">
        <w:rPr>
          <w:smallCaps/>
          <w:sz w:val="20"/>
          <w:szCs w:val="20"/>
          <w:lang w:val="fr-BE"/>
        </w:rPr>
        <w:t>Page</w:t>
      </w:r>
      <w:r w:rsidRPr="00CD7B80">
        <w:rPr>
          <w:sz w:val="20"/>
          <w:szCs w:val="20"/>
          <w:lang w:val="fr-BE"/>
        </w:rPr>
        <w:t xml:space="preserve">, </w:t>
      </w:r>
      <w:r w:rsidRPr="00CD7B80">
        <w:rPr>
          <w:i/>
          <w:sz w:val="20"/>
          <w:szCs w:val="20"/>
          <w:lang w:val="fr-BE"/>
        </w:rPr>
        <w:t>Traité élémentaire de droit civil belge</w:t>
      </w:r>
      <w:r w:rsidRPr="00CD7B80">
        <w:rPr>
          <w:sz w:val="20"/>
          <w:szCs w:val="20"/>
          <w:lang w:val="fr-BE"/>
        </w:rPr>
        <w:t xml:space="preserve">, </w:t>
      </w:r>
      <w:r w:rsidRPr="00CD7B80">
        <w:rPr>
          <w:i/>
          <w:sz w:val="20"/>
          <w:szCs w:val="20"/>
          <w:lang w:val="nl-NL"/>
        </w:rPr>
        <w:t>op. cit.</w:t>
      </w:r>
      <w:r w:rsidRPr="00CD7B80">
        <w:rPr>
          <w:sz w:val="20"/>
          <w:szCs w:val="20"/>
          <w:lang w:val="fr-BE"/>
        </w:rPr>
        <w:t>, p. 760, n°789. En cas de nullité absolue, le contrat ne peut qu’être refait (</w:t>
      </w:r>
      <w:r w:rsidRPr="00CD7B80">
        <w:rPr>
          <w:sz w:val="20"/>
          <w:szCs w:val="20"/>
        </w:rPr>
        <w:t xml:space="preserve">P. </w:t>
      </w:r>
      <w:r w:rsidRPr="00CD7B80">
        <w:rPr>
          <w:smallCaps/>
          <w:sz w:val="20"/>
          <w:szCs w:val="20"/>
        </w:rPr>
        <w:t>Wéry</w:t>
      </w:r>
      <w:r w:rsidRPr="00CD7B80">
        <w:rPr>
          <w:sz w:val="20"/>
          <w:szCs w:val="20"/>
        </w:rPr>
        <w:t xml:space="preserve">, </w:t>
      </w:r>
      <w:r w:rsidRPr="00CD7B80">
        <w:rPr>
          <w:i/>
          <w:sz w:val="20"/>
          <w:szCs w:val="20"/>
        </w:rPr>
        <w:t>Droit des obligations</w:t>
      </w:r>
      <w:r w:rsidRPr="00CD7B80">
        <w:rPr>
          <w:sz w:val="20"/>
          <w:szCs w:val="20"/>
        </w:rPr>
        <w:t>,</w:t>
      </w:r>
      <w:r w:rsidRPr="00CD7B80">
        <w:rPr>
          <w:i/>
          <w:sz w:val="20"/>
          <w:szCs w:val="20"/>
        </w:rPr>
        <w:t xml:space="preserve"> op. cit.</w:t>
      </w:r>
      <w:r w:rsidRPr="00CD7B80">
        <w:rPr>
          <w:sz w:val="20"/>
          <w:szCs w:val="20"/>
        </w:rPr>
        <w:t xml:space="preserve">, vol. 1, </w:t>
      </w:r>
      <w:r w:rsidRPr="00CD7B80">
        <w:rPr>
          <w:sz w:val="20"/>
          <w:szCs w:val="20"/>
          <w:lang w:val="fr-BE"/>
        </w:rPr>
        <w:t xml:space="preserve">p. 322 ; </w:t>
      </w:r>
      <w:r w:rsidRPr="00CD7B80">
        <w:rPr>
          <w:sz w:val="20"/>
          <w:szCs w:val="20"/>
        </w:rPr>
        <w:t xml:space="preserve">P. </w:t>
      </w:r>
      <w:r w:rsidRPr="00CD7B80">
        <w:rPr>
          <w:smallCaps/>
          <w:sz w:val="20"/>
          <w:szCs w:val="20"/>
        </w:rPr>
        <w:t>Van Ommeslaghe</w:t>
      </w:r>
      <w:r w:rsidRPr="00CD7B80">
        <w:rPr>
          <w:sz w:val="20"/>
          <w:szCs w:val="20"/>
        </w:rPr>
        <w:t xml:space="preserve">, </w:t>
      </w:r>
      <w:r w:rsidRPr="00CD7B80">
        <w:rPr>
          <w:i/>
          <w:sz w:val="20"/>
          <w:szCs w:val="20"/>
        </w:rPr>
        <w:t>Traité de droit civil belge (De Page)</w:t>
      </w:r>
      <w:r w:rsidRPr="00CD7B80">
        <w:rPr>
          <w:sz w:val="20"/>
          <w:szCs w:val="20"/>
        </w:rPr>
        <w:t xml:space="preserve">, </w:t>
      </w:r>
      <w:r w:rsidRPr="00CD7B80">
        <w:rPr>
          <w:i/>
          <w:sz w:val="20"/>
          <w:szCs w:val="20"/>
          <w:lang w:val="nl-NL"/>
        </w:rPr>
        <w:t>op. cit.</w:t>
      </w:r>
      <w:r w:rsidRPr="00CD7B80">
        <w:rPr>
          <w:sz w:val="20"/>
          <w:szCs w:val="20"/>
        </w:rPr>
        <w:t xml:space="preserve">, vol. 1, p. 361). </w:t>
      </w:r>
    </w:p>
  </w:footnote>
  <w:footnote w:id="18">
    <w:p w14:paraId="5F237460" w14:textId="0760967C"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 xml:space="preserve">Sur la prescription de l’action en nullité, voy. ci-après la contribution de Mme Regout. </w:t>
      </w:r>
    </w:p>
  </w:footnote>
  <w:footnote w:id="19">
    <w:p w14:paraId="46602698" w14:textId="2E75C050" w:rsidR="002658C8" w:rsidRPr="00CD7B80" w:rsidRDefault="002658C8" w:rsidP="00CA177F">
      <w:pPr>
        <w:jc w:val="both"/>
        <w:rPr>
          <w:sz w:val="20"/>
          <w:szCs w:val="20"/>
          <w:lang w:val="fr-BE"/>
        </w:rPr>
      </w:pPr>
      <w:r w:rsidRPr="00CD7B80">
        <w:rPr>
          <w:rStyle w:val="Marquenotebasdepage"/>
          <w:sz w:val="20"/>
          <w:szCs w:val="20"/>
        </w:rPr>
        <w:footnoteRef/>
      </w:r>
      <w:r w:rsidRPr="00CD7B80">
        <w:rPr>
          <w:sz w:val="20"/>
          <w:szCs w:val="20"/>
        </w:rPr>
        <w:t xml:space="preserve"> P. </w:t>
      </w:r>
      <w:r w:rsidRPr="00CD7B80">
        <w:rPr>
          <w:smallCaps/>
          <w:sz w:val="20"/>
          <w:szCs w:val="20"/>
        </w:rPr>
        <w:t>Van Ommeslaghe</w:t>
      </w:r>
      <w:r w:rsidRPr="00CD7B80">
        <w:rPr>
          <w:sz w:val="20"/>
          <w:szCs w:val="20"/>
        </w:rPr>
        <w:t xml:space="preserve">, </w:t>
      </w:r>
      <w:r w:rsidRPr="00CD7B80">
        <w:rPr>
          <w:i/>
          <w:sz w:val="20"/>
          <w:szCs w:val="20"/>
        </w:rPr>
        <w:t>Traité de droit civil belge (De Page)</w:t>
      </w:r>
      <w:r w:rsidRPr="00CD7B80">
        <w:rPr>
          <w:sz w:val="20"/>
          <w:szCs w:val="20"/>
        </w:rPr>
        <w:t xml:space="preserve">, </w:t>
      </w:r>
      <w:r w:rsidRPr="00CD7B80">
        <w:rPr>
          <w:i/>
          <w:sz w:val="20"/>
          <w:szCs w:val="20"/>
          <w:lang w:val="nl-NL"/>
        </w:rPr>
        <w:t>op. cit.</w:t>
      </w:r>
      <w:r w:rsidRPr="00CD7B80">
        <w:rPr>
          <w:sz w:val="20"/>
          <w:szCs w:val="20"/>
        </w:rPr>
        <w:t xml:space="preserve">, vol. 1, p. 361 ; </w:t>
      </w:r>
      <w:r w:rsidRPr="00CD7B80">
        <w:rPr>
          <w:sz w:val="20"/>
          <w:szCs w:val="20"/>
          <w:lang w:val="fr-BE"/>
        </w:rPr>
        <w:t xml:space="preserve">P. </w:t>
      </w:r>
      <w:r w:rsidRPr="00CD7B80">
        <w:rPr>
          <w:smallCaps/>
          <w:sz w:val="20"/>
          <w:szCs w:val="20"/>
          <w:lang w:val="fr-BE"/>
        </w:rPr>
        <w:t>Wéry</w:t>
      </w:r>
      <w:r w:rsidRPr="00CD7B80">
        <w:rPr>
          <w:sz w:val="20"/>
          <w:szCs w:val="20"/>
          <w:lang w:val="fr-BE"/>
        </w:rPr>
        <w:t xml:space="preserve">, </w:t>
      </w:r>
      <w:r w:rsidRPr="00CD7B80">
        <w:rPr>
          <w:i/>
          <w:sz w:val="20"/>
          <w:szCs w:val="20"/>
          <w:lang w:val="fr-BE"/>
        </w:rPr>
        <w:t>Droit des obligations</w:t>
      </w:r>
      <w:r w:rsidRPr="00CD7B80">
        <w:rPr>
          <w:sz w:val="20"/>
          <w:szCs w:val="20"/>
          <w:lang w:val="fr-BE"/>
        </w:rPr>
        <w:t xml:space="preserve">, </w:t>
      </w:r>
      <w:r w:rsidRPr="00CD7B80">
        <w:rPr>
          <w:i/>
          <w:sz w:val="20"/>
          <w:szCs w:val="20"/>
          <w:lang w:val="nl-NL"/>
        </w:rPr>
        <w:t>op. cit.</w:t>
      </w:r>
      <w:r w:rsidRPr="00CD7B80">
        <w:rPr>
          <w:sz w:val="20"/>
          <w:szCs w:val="20"/>
          <w:lang w:val="fr-BE"/>
        </w:rPr>
        <w:t>, vol. 1, p. 308 (plus nuancé en ce qui concerne les nullités relatives).</w:t>
      </w:r>
    </w:p>
  </w:footnote>
  <w:footnote w:id="20">
    <w:p w14:paraId="481203C8" w14:textId="77777777" w:rsidR="002658C8" w:rsidRPr="00CD7B80" w:rsidRDefault="002658C8" w:rsidP="00CA177F">
      <w:pPr>
        <w:jc w:val="both"/>
        <w:rPr>
          <w:sz w:val="20"/>
          <w:szCs w:val="20"/>
          <w:lang w:val="fr-BE"/>
        </w:rPr>
      </w:pPr>
      <w:r w:rsidRPr="00CD7B80">
        <w:rPr>
          <w:rStyle w:val="Marquenotebasdepage"/>
          <w:sz w:val="20"/>
          <w:szCs w:val="20"/>
        </w:rPr>
        <w:footnoteRef/>
      </w:r>
      <w:r w:rsidRPr="00CD7B80">
        <w:rPr>
          <w:sz w:val="20"/>
          <w:szCs w:val="20"/>
        </w:rPr>
        <w:t xml:space="preserve"> P. </w:t>
      </w:r>
      <w:r w:rsidRPr="00CD7B80">
        <w:rPr>
          <w:smallCaps/>
          <w:sz w:val="20"/>
          <w:szCs w:val="20"/>
        </w:rPr>
        <w:t>Van Ommeslaghe</w:t>
      </w:r>
      <w:r w:rsidRPr="00CD7B80">
        <w:rPr>
          <w:sz w:val="20"/>
          <w:szCs w:val="20"/>
        </w:rPr>
        <w:t xml:space="preserve">, </w:t>
      </w:r>
      <w:r w:rsidRPr="00CD7B80">
        <w:rPr>
          <w:i/>
          <w:sz w:val="20"/>
          <w:szCs w:val="20"/>
        </w:rPr>
        <w:t>Traité de droit civil belge (De Page)</w:t>
      </w:r>
      <w:r w:rsidRPr="00CD7B80">
        <w:rPr>
          <w:sz w:val="20"/>
          <w:szCs w:val="20"/>
        </w:rPr>
        <w:t xml:space="preserve">, </w:t>
      </w:r>
      <w:r w:rsidRPr="00CD7B80">
        <w:rPr>
          <w:i/>
          <w:sz w:val="20"/>
          <w:szCs w:val="20"/>
          <w:lang w:val="nl-NL"/>
        </w:rPr>
        <w:t>op. cit.</w:t>
      </w:r>
      <w:r w:rsidRPr="00CD7B80">
        <w:rPr>
          <w:sz w:val="20"/>
          <w:szCs w:val="20"/>
        </w:rPr>
        <w:t xml:space="preserve">, vol. 1, pp. 327-329 ; </w:t>
      </w:r>
      <w:r w:rsidRPr="00CD7B80">
        <w:rPr>
          <w:sz w:val="20"/>
          <w:szCs w:val="20"/>
          <w:lang w:val="nl-NL"/>
        </w:rPr>
        <w:t xml:space="preserve">M. </w:t>
      </w:r>
      <w:r w:rsidRPr="00CD7B80">
        <w:rPr>
          <w:smallCaps/>
          <w:sz w:val="20"/>
          <w:szCs w:val="20"/>
          <w:lang w:val="nl-NL"/>
        </w:rPr>
        <w:t>Coipel</w:t>
      </w:r>
      <w:r w:rsidRPr="00CD7B80">
        <w:rPr>
          <w:sz w:val="20"/>
          <w:szCs w:val="20"/>
          <w:lang w:val="nl-NL"/>
        </w:rPr>
        <w:t xml:space="preserve">, </w:t>
      </w:r>
      <w:r w:rsidRPr="00CD7B80">
        <w:rPr>
          <w:i/>
          <w:sz w:val="20"/>
          <w:szCs w:val="20"/>
          <w:lang w:val="nl-NL"/>
        </w:rPr>
        <w:t>Eléments de théorie générale des contrats</w:t>
      </w:r>
      <w:r w:rsidRPr="00CD7B80">
        <w:rPr>
          <w:sz w:val="20"/>
          <w:szCs w:val="20"/>
          <w:lang w:val="nl-NL"/>
        </w:rPr>
        <w:t>, Kluwer-E. Story-Scientia, 1999, p. 62</w:t>
      </w:r>
      <w:r w:rsidRPr="00CD7B80">
        <w:rPr>
          <w:sz w:val="20"/>
          <w:szCs w:val="20"/>
        </w:rPr>
        <w:t xml:space="preserve"> ; P. </w:t>
      </w:r>
      <w:r w:rsidRPr="00CD7B80">
        <w:rPr>
          <w:smallCaps/>
          <w:sz w:val="20"/>
          <w:szCs w:val="20"/>
        </w:rPr>
        <w:t>Wéry</w:t>
      </w:r>
      <w:r w:rsidRPr="00CD7B80">
        <w:rPr>
          <w:sz w:val="20"/>
          <w:szCs w:val="20"/>
        </w:rPr>
        <w:t xml:space="preserve">, « Le mobile illicite unilatéral, cause de nullité des actes juridiques », note sous Cass., 12 octobre 2000, </w:t>
      </w:r>
      <w:r w:rsidRPr="00CD7B80">
        <w:rPr>
          <w:i/>
          <w:sz w:val="20"/>
          <w:szCs w:val="20"/>
        </w:rPr>
        <w:t>R.C.J.B</w:t>
      </w:r>
      <w:r w:rsidRPr="00CD7B80">
        <w:rPr>
          <w:sz w:val="20"/>
          <w:szCs w:val="20"/>
        </w:rPr>
        <w:t xml:space="preserve">., 2003, p. 74 et les références citées ; </w:t>
      </w:r>
      <w:r w:rsidRPr="00CD7B80">
        <w:rPr>
          <w:sz w:val="20"/>
          <w:szCs w:val="20"/>
          <w:lang w:val="fr-BE"/>
        </w:rPr>
        <w:t xml:space="preserve">O. </w:t>
      </w:r>
      <w:r w:rsidRPr="00CD7B80">
        <w:rPr>
          <w:smallCaps/>
          <w:sz w:val="20"/>
          <w:szCs w:val="20"/>
          <w:lang w:val="fr-BE"/>
        </w:rPr>
        <w:t>Delogne</w:t>
      </w:r>
      <w:r w:rsidRPr="00CD7B80">
        <w:rPr>
          <w:sz w:val="20"/>
          <w:szCs w:val="20"/>
          <w:lang w:val="fr-BE"/>
        </w:rPr>
        <w:t xml:space="preserve">, « Le contrat d'assurance incendie sous le prisme de la théorie de l'objet illicite : jurisprudence récente de la cour de cassation », </w:t>
      </w:r>
      <w:r w:rsidRPr="00CD7B80">
        <w:rPr>
          <w:i/>
          <w:sz w:val="20"/>
          <w:szCs w:val="20"/>
          <w:lang w:val="fr-BE"/>
        </w:rPr>
        <w:t>R.G.A.R</w:t>
      </w:r>
      <w:r w:rsidRPr="00CD7B80">
        <w:rPr>
          <w:sz w:val="20"/>
          <w:szCs w:val="20"/>
          <w:lang w:val="fr-BE"/>
        </w:rPr>
        <w:t>., 2006, 14117 et les nombreuses références citées en note 29</w:t>
      </w:r>
      <w:r w:rsidRPr="00CD7B80">
        <w:rPr>
          <w:sz w:val="20"/>
          <w:szCs w:val="20"/>
        </w:rPr>
        <w:t xml:space="preserve"> ; M. </w:t>
      </w:r>
      <w:r w:rsidRPr="00CD7B80">
        <w:rPr>
          <w:smallCaps/>
          <w:sz w:val="20"/>
          <w:szCs w:val="20"/>
        </w:rPr>
        <w:t>Dupont</w:t>
      </w:r>
      <w:r w:rsidRPr="00CD7B80">
        <w:rPr>
          <w:sz w:val="20"/>
          <w:szCs w:val="20"/>
        </w:rPr>
        <w:t xml:space="preserve">, « Nullité absolue et nullité relative », </w:t>
      </w:r>
      <w:r w:rsidRPr="00CD7B80">
        <w:rPr>
          <w:i/>
          <w:sz w:val="20"/>
          <w:szCs w:val="20"/>
          <w:lang w:val="nl-NL"/>
        </w:rPr>
        <w:t>op. cit.</w:t>
      </w:r>
      <w:r w:rsidRPr="00CD7B80">
        <w:rPr>
          <w:sz w:val="20"/>
          <w:szCs w:val="20"/>
        </w:rPr>
        <w:t>, p. 51.</w:t>
      </w:r>
    </w:p>
  </w:footnote>
  <w:footnote w:id="21">
    <w:p w14:paraId="34EE82B2" w14:textId="58B60AF6"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fr-BE"/>
        </w:rPr>
        <w:t>La Cour de cassation a ainsi rappelé que, dans « un contrat synallagmatique, la cause des obligations de l'une des parties ne réside pas exclusivement dans l'ensemble des obligations de l'autre partie, mais dans celui des mobiles qui a principalement inspiré son débiteur et l'a déterminé à contracter » (</w:t>
      </w:r>
      <w:r w:rsidRPr="00CD7B80">
        <w:rPr>
          <w:sz w:val="20"/>
          <w:szCs w:val="20"/>
        </w:rPr>
        <w:t xml:space="preserve">Cass., 14 mars 2008, </w:t>
      </w:r>
      <w:r w:rsidRPr="00CD7B80">
        <w:rPr>
          <w:i/>
          <w:sz w:val="20"/>
          <w:szCs w:val="20"/>
        </w:rPr>
        <w:t>Pas</w:t>
      </w:r>
      <w:r w:rsidRPr="00CD7B80">
        <w:rPr>
          <w:sz w:val="20"/>
          <w:szCs w:val="20"/>
        </w:rPr>
        <w:t xml:space="preserve">., I, n°708). Voy. déjà Cass., 23 juin 1977, </w:t>
      </w:r>
      <w:r w:rsidRPr="00CD7B80">
        <w:rPr>
          <w:i/>
          <w:sz w:val="20"/>
          <w:szCs w:val="20"/>
        </w:rPr>
        <w:t>Pas</w:t>
      </w:r>
      <w:r w:rsidRPr="00CD7B80">
        <w:rPr>
          <w:sz w:val="20"/>
          <w:szCs w:val="20"/>
        </w:rPr>
        <w:t xml:space="preserve">., I, p. 1083 : « Attendu que, pour qu’une libéralité entre un homme et une femme qui entretiennent des relations sexuelles hors mariage soit nulle, il faut mais il suffit que l'un des mobiles déterminants des libéralités ait été de faire naître, de maintenir ou de rémunérer ces relations ». Il est vrai que d’autres arrêts sont plus ambigus (voy. Cass., 29 avril 2011, </w:t>
      </w:r>
      <w:r w:rsidRPr="00CD7B80">
        <w:rPr>
          <w:i/>
          <w:sz w:val="20"/>
          <w:szCs w:val="20"/>
        </w:rPr>
        <w:t>Pas</w:t>
      </w:r>
      <w:r w:rsidRPr="00CD7B80">
        <w:rPr>
          <w:sz w:val="20"/>
          <w:szCs w:val="20"/>
        </w:rPr>
        <w:t xml:space="preserve">., I, n°1203 et, plus récemment, Cass., 15 février 2016, RG n°C.14.0448.F/16, dans lequel la Cour conclut à l’existence d’une cause illicite sans vérifier les mobiles déterminants de l’employeur concerné). </w:t>
      </w:r>
    </w:p>
  </w:footnote>
  <w:footnote w:id="22">
    <w:p w14:paraId="63272131" w14:textId="03738366"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 xml:space="preserve">Sur ce point, voy. ci-après la contribution de N. Bernard et L. Debroux (§18). </w:t>
      </w:r>
    </w:p>
  </w:footnote>
  <w:footnote w:id="23">
    <w:p w14:paraId="03674FB0" w14:textId="29C1EF84"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 xml:space="preserve">Sur la notion d’objet, voy. </w:t>
      </w:r>
      <w:r w:rsidRPr="00CD7B80">
        <w:rPr>
          <w:sz w:val="20"/>
          <w:szCs w:val="20"/>
        </w:rPr>
        <w:t xml:space="preserve">J. </w:t>
      </w:r>
      <w:r w:rsidRPr="00CD7B80">
        <w:rPr>
          <w:smallCaps/>
          <w:sz w:val="20"/>
          <w:szCs w:val="20"/>
        </w:rPr>
        <w:t>Van Meerbeeck</w:t>
      </w:r>
      <w:r w:rsidRPr="00CD7B80">
        <w:rPr>
          <w:sz w:val="20"/>
          <w:szCs w:val="20"/>
        </w:rPr>
        <w:t xml:space="preserve">, « Le juge et l'ordre public: libres propos quant à l'impact des normes régionales sur le bail à l'aune de la théorie des nullités », </w:t>
      </w:r>
      <w:r w:rsidRPr="00CD7B80">
        <w:rPr>
          <w:i/>
          <w:sz w:val="20"/>
          <w:szCs w:val="20"/>
        </w:rPr>
        <w:t>op. cit</w:t>
      </w:r>
      <w:r w:rsidRPr="00CD7B80">
        <w:rPr>
          <w:sz w:val="20"/>
          <w:szCs w:val="20"/>
        </w:rPr>
        <w:t>., p. 164 et s. ainsi que la contribution de J. Van Zuylen et J. Thiry dans le présent ouvrage (§§9-10).</w:t>
      </w:r>
    </w:p>
  </w:footnote>
  <w:footnote w:id="24">
    <w:p w14:paraId="11A41E8D" w14:textId="58026439" w:rsidR="002658C8" w:rsidRPr="00CD7B80" w:rsidRDefault="002658C8" w:rsidP="00CA177F">
      <w:pPr>
        <w:pStyle w:val="Notedebasdepage"/>
        <w:jc w:val="both"/>
        <w:rPr>
          <w:sz w:val="20"/>
          <w:szCs w:val="20"/>
        </w:rPr>
      </w:pPr>
      <w:r w:rsidRPr="00CD7B80">
        <w:rPr>
          <w:rStyle w:val="Marquenotebasdepage"/>
          <w:sz w:val="20"/>
          <w:szCs w:val="20"/>
        </w:rPr>
        <w:footnoteRef/>
      </w:r>
      <w:r w:rsidRPr="00CD7B80">
        <w:rPr>
          <w:sz w:val="20"/>
          <w:szCs w:val="20"/>
        </w:rPr>
        <w:t xml:space="preserve"> Cass., 8 avril 1999, </w:t>
      </w:r>
      <w:r w:rsidRPr="00CD7B80">
        <w:rPr>
          <w:i/>
          <w:sz w:val="20"/>
          <w:szCs w:val="20"/>
        </w:rPr>
        <w:t>J.L.M.B</w:t>
      </w:r>
      <w:r w:rsidRPr="00CD7B80">
        <w:rPr>
          <w:sz w:val="20"/>
          <w:szCs w:val="20"/>
        </w:rPr>
        <w:t xml:space="preserve">., p. 1720 ; </w:t>
      </w:r>
      <w:r w:rsidRPr="00CD7B80">
        <w:rPr>
          <w:i/>
          <w:sz w:val="20"/>
          <w:szCs w:val="20"/>
        </w:rPr>
        <w:t>D.A.O.R</w:t>
      </w:r>
      <w:r w:rsidRPr="00CD7B80">
        <w:rPr>
          <w:sz w:val="20"/>
          <w:szCs w:val="20"/>
        </w:rPr>
        <w:t xml:space="preserve">., 2000, p. 357 ; Cass., 14 septembre 2000, </w:t>
      </w:r>
      <w:r w:rsidRPr="00CD7B80">
        <w:rPr>
          <w:i/>
          <w:sz w:val="20"/>
          <w:szCs w:val="20"/>
        </w:rPr>
        <w:t>Pas</w:t>
      </w:r>
      <w:r w:rsidRPr="00CD7B80">
        <w:rPr>
          <w:sz w:val="20"/>
          <w:szCs w:val="20"/>
        </w:rPr>
        <w:t xml:space="preserve">., I, n°470 ; Cass., 19 mai 2005, </w:t>
      </w:r>
      <w:r w:rsidRPr="00CD7B80">
        <w:rPr>
          <w:i/>
          <w:sz w:val="20"/>
          <w:szCs w:val="20"/>
        </w:rPr>
        <w:t>Pas</w:t>
      </w:r>
      <w:r w:rsidRPr="00CD7B80">
        <w:rPr>
          <w:sz w:val="20"/>
          <w:szCs w:val="20"/>
        </w:rPr>
        <w:t xml:space="preserve">., I, n°1065 ; Cass., 17 juin 2007, </w:t>
      </w:r>
      <w:r w:rsidRPr="00CD7B80">
        <w:rPr>
          <w:i/>
          <w:sz w:val="20"/>
          <w:szCs w:val="20"/>
        </w:rPr>
        <w:t>T. Straf</w:t>
      </w:r>
      <w:r w:rsidRPr="00CD7B80">
        <w:rPr>
          <w:sz w:val="20"/>
          <w:szCs w:val="20"/>
        </w:rPr>
        <w:t xml:space="preserve">., 2008, p. 447 ; Cass., 4 octobre 2012, </w:t>
      </w:r>
      <w:r w:rsidRPr="00CD7B80">
        <w:rPr>
          <w:i/>
          <w:sz w:val="20"/>
          <w:szCs w:val="20"/>
        </w:rPr>
        <w:t>R&amp;J</w:t>
      </w:r>
      <w:r w:rsidRPr="00CD7B80">
        <w:rPr>
          <w:sz w:val="20"/>
          <w:szCs w:val="20"/>
        </w:rPr>
        <w:t xml:space="preserve">, 2013/3-4, p. 235. </w:t>
      </w:r>
    </w:p>
  </w:footnote>
  <w:footnote w:id="25">
    <w:p w14:paraId="667C4FA3" w14:textId="77777777"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La Cour de cassation de France a, en ce sens, jugé que les « infractions commises à la législation sur l’urbanisme ne peuvent par elles-mêmes ni frapper l’immeuble d’une inaliénabilité légale, ni entraîner la nullité des conventions dont cet immeuble est l’objet » (Cass. civ. 3</w:t>
      </w:r>
      <w:r w:rsidRPr="00CD7B80">
        <w:rPr>
          <w:sz w:val="20"/>
          <w:szCs w:val="20"/>
          <w:vertAlign w:val="superscript"/>
        </w:rPr>
        <w:t>ème</w:t>
      </w:r>
      <w:r w:rsidRPr="00CD7B80">
        <w:rPr>
          <w:sz w:val="20"/>
          <w:szCs w:val="20"/>
        </w:rPr>
        <w:t xml:space="preserve"> ch., 15 juin 1982, </w:t>
      </w:r>
      <w:r w:rsidRPr="00CD7B80">
        <w:rPr>
          <w:i/>
          <w:sz w:val="20"/>
          <w:szCs w:val="20"/>
        </w:rPr>
        <w:t>Bull. civ</w:t>
      </w:r>
      <w:r w:rsidRPr="00CD7B80">
        <w:rPr>
          <w:sz w:val="20"/>
          <w:szCs w:val="20"/>
        </w:rPr>
        <w:t>. III, no 155, p. 112).</w:t>
      </w:r>
    </w:p>
  </w:footnote>
  <w:footnote w:id="26">
    <w:p w14:paraId="4A0818C6" w14:textId="10C9BE2B"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Voy. notamment l’article 300 du Code bruxellois de l’aménagement du territoire (ci-après, le CoBAT).</w:t>
      </w:r>
    </w:p>
  </w:footnote>
  <w:footnote w:id="27">
    <w:p w14:paraId="33AB47BC" w14:textId="1D8A223C"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En ce sens, voy. </w:t>
      </w:r>
      <w:r w:rsidRPr="00CD7B80">
        <w:rPr>
          <w:sz w:val="20"/>
          <w:szCs w:val="20"/>
          <w:lang w:val="nl-NL"/>
        </w:rPr>
        <w:t xml:space="preserve">D. </w:t>
      </w:r>
      <w:r w:rsidRPr="00CD7B80">
        <w:rPr>
          <w:smallCaps/>
          <w:sz w:val="20"/>
          <w:szCs w:val="20"/>
          <w:lang w:val="nl-NL"/>
        </w:rPr>
        <w:t>Deom</w:t>
      </w:r>
      <w:r w:rsidRPr="00CD7B80">
        <w:rPr>
          <w:sz w:val="20"/>
          <w:szCs w:val="20"/>
          <w:lang w:val="nl-NL"/>
        </w:rPr>
        <w:t xml:space="preserve">, « Les baux et le droit de l’urbanisme </w:t>
      </w:r>
      <w:r w:rsidRPr="00CD7B80">
        <w:rPr>
          <w:sz w:val="20"/>
          <w:szCs w:val="20"/>
          <w:lang w:val="fr-BE"/>
        </w:rPr>
        <w:t>»</w:t>
      </w:r>
      <w:r w:rsidRPr="00CD7B80">
        <w:rPr>
          <w:sz w:val="20"/>
          <w:szCs w:val="20"/>
          <w:lang w:val="nl-NL"/>
        </w:rPr>
        <w:t xml:space="preserve">, in </w:t>
      </w:r>
      <w:r w:rsidRPr="00CD7B80">
        <w:rPr>
          <w:i/>
          <w:sz w:val="20"/>
          <w:szCs w:val="20"/>
          <w:lang w:val="nl-NL"/>
        </w:rPr>
        <w:t>Baux et actualité législative et jurisprudentielle</w:t>
      </w:r>
      <w:r w:rsidRPr="00CD7B80">
        <w:rPr>
          <w:sz w:val="20"/>
          <w:szCs w:val="20"/>
          <w:lang w:val="nl-NL"/>
        </w:rPr>
        <w:t xml:space="preserve">, Bruxelles, Bruylant, 2005, p. 65. </w:t>
      </w:r>
      <w:r w:rsidRPr="00CD7B80">
        <w:rPr>
          <w:i/>
          <w:sz w:val="20"/>
          <w:szCs w:val="20"/>
          <w:lang w:val="nl-NL"/>
        </w:rPr>
        <w:t>Contra</w:t>
      </w:r>
      <w:r w:rsidRPr="00CD7B80">
        <w:rPr>
          <w:sz w:val="20"/>
          <w:szCs w:val="20"/>
          <w:lang w:val="nl-NL"/>
        </w:rPr>
        <w:t>, voy. les références citées par J. V</w:t>
      </w:r>
      <w:r>
        <w:rPr>
          <w:sz w:val="20"/>
          <w:szCs w:val="20"/>
          <w:lang w:val="nl-NL"/>
        </w:rPr>
        <w:t>an Zuylen et J. Thiry dans leur contribution (§16)</w:t>
      </w:r>
      <w:r w:rsidRPr="00CD7B80">
        <w:rPr>
          <w:sz w:val="20"/>
          <w:szCs w:val="20"/>
          <w:lang w:val="nl-NL"/>
        </w:rPr>
        <w:t>. Voy. également un curieux arrêt prononcé le 4 octobre 2012 par la Cour de cassation (</w:t>
      </w:r>
      <w:r w:rsidRPr="00CD7B80">
        <w:rPr>
          <w:i/>
          <w:sz w:val="20"/>
          <w:szCs w:val="20"/>
          <w:lang w:val="nl-NL"/>
        </w:rPr>
        <w:t>R&amp;J</w:t>
      </w:r>
      <w:r w:rsidRPr="00CD7B80">
        <w:rPr>
          <w:sz w:val="20"/>
          <w:szCs w:val="20"/>
          <w:lang w:val="nl-NL"/>
        </w:rPr>
        <w:t>, 2013/3-4, p</w:t>
      </w:r>
      <w:r>
        <w:rPr>
          <w:sz w:val="20"/>
          <w:szCs w:val="20"/>
          <w:lang w:val="nl-NL"/>
        </w:rPr>
        <w:t>p</w:t>
      </w:r>
      <w:r w:rsidRPr="00CD7B80">
        <w:rPr>
          <w:sz w:val="20"/>
          <w:szCs w:val="20"/>
          <w:lang w:val="nl-NL"/>
        </w:rPr>
        <w:t>. 235-243), dans lequel la cour a estimé qu’il ne se déduisait « ni des faits spécialement invoqués par le demandeur dans ses dernières conclusions reproduites au moyen ni des faits constatés par le jugement attaqué que, lors de la conclusion du bail, l’objet de l’obligation des défendeurs de mettre le bien loué à la disposition du demandeur pour y exploiter un dancing (…) tendait à créer ou à maintenir une situation illégale » alors que, par les motifs reproduits au moyen, la déc</w:t>
      </w:r>
      <w:r>
        <w:rPr>
          <w:sz w:val="20"/>
          <w:szCs w:val="20"/>
          <w:lang w:val="nl-NL"/>
        </w:rPr>
        <w:t>ision entreprise constatait que</w:t>
      </w:r>
      <w:r w:rsidRPr="00CD7B80">
        <w:rPr>
          <w:sz w:val="20"/>
          <w:szCs w:val="20"/>
          <w:lang w:val="nl-NL"/>
        </w:rPr>
        <w:t xml:space="preserve"> dans la commune intention des parties, les lieux loués devaient être « exploités en dancing » ou « à usage de cabaret chantant », que les bailleurs avaient déclaré que cette affectation était nécessaire pour « rentabili</w:t>
      </w:r>
      <w:r>
        <w:rPr>
          <w:sz w:val="20"/>
          <w:szCs w:val="20"/>
          <w:lang w:val="nl-NL"/>
        </w:rPr>
        <w:t>ser [leurs] investissements »,</w:t>
      </w:r>
      <w:r w:rsidRPr="00CD7B80">
        <w:rPr>
          <w:sz w:val="20"/>
          <w:szCs w:val="20"/>
          <w:lang w:val="nl-NL"/>
        </w:rPr>
        <w:t xml:space="preserve"> que, « dès la conclusion de la convention de bail, il n’y avait pas de permis de bâtir et [qu’] il est manifesté que cette situation était de nature à aboutir d’une façon ou d’une autre à ce qu’un terme doive être mis à l’exploitation commerciale du locataire ».</w:t>
      </w:r>
    </w:p>
  </w:footnote>
  <w:footnote w:id="28">
    <w:p w14:paraId="2933A50C" w14:textId="0EDBB987" w:rsidR="002658C8" w:rsidRPr="00CD7B80" w:rsidRDefault="002658C8" w:rsidP="00CA177F">
      <w:pPr>
        <w:pStyle w:val="Notedebasdepage"/>
        <w:jc w:val="both"/>
        <w:rPr>
          <w:sz w:val="20"/>
          <w:szCs w:val="20"/>
        </w:rPr>
      </w:pPr>
      <w:r w:rsidRPr="00CD7B80">
        <w:rPr>
          <w:rStyle w:val="Marquenotebasdepage"/>
          <w:sz w:val="20"/>
          <w:szCs w:val="20"/>
        </w:rPr>
        <w:footnoteRef/>
      </w:r>
      <w:r w:rsidRPr="00CD7B80">
        <w:rPr>
          <w:sz w:val="20"/>
          <w:szCs w:val="20"/>
        </w:rPr>
        <w:t xml:space="preserve"> Cass. (1</w:t>
      </w:r>
      <w:r w:rsidRPr="00CD7B80">
        <w:rPr>
          <w:sz w:val="20"/>
          <w:szCs w:val="20"/>
          <w:vertAlign w:val="superscript"/>
        </w:rPr>
        <w:t>re</w:t>
      </w:r>
      <w:r w:rsidRPr="00CD7B80">
        <w:rPr>
          <w:sz w:val="20"/>
          <w:szCs w:val="20"/>
        </w:rPr>
        <w:t xml:space="preserve"> ch.), 24 février 2011, </w:t>
      </w:r>
      <w:r w:rsidRPr="00CD7B80">
        <w:rPr>
          <w:i/>
          <w:sz w:val="20"/>
          <w:szCs w:val="20"/>
        </w:rPr>
        <w:t>R.C.J.B.</w:t>
      </w:r>
      <w:r w:rsidRPr="00CD7B80">
        <w:rPr>
          <w:sz w:val="20"/>
          <w:szCs w:val="20"/>
        </w:rPr>
        <w:t xml:space="preserve">, 2014, p. 5 et note </w:t>
      </w:r>
      <w:r w:rsidRPr="00CD7B80">
        <w:rPr>
          <w:smallCaps/>
          <w:sz w:val="20"/>
          <w:szCs w:val="20"/>
        </w:rPr>
        <w:t>B. Kohl</w:t>
      </w:r>
      <w:r w:rsidRPr="00CD7B80">
        <w:rPr>
          <w:sz w:val="20"/>
          <w:szCs w:val="20"/>
        </w:rPr>
        <w:t xml:space="preserve"> et </w:t>
      </w:r>
      <w:r w:rsidRPr="00CD7B80">
        <w:rPr>
          <w:smallCaps/>
          <w:sz w:val="20"/>
          <w:szCs w:val="20"/>
        </w:rPr>
        <w:t>F. Onclin</w:t>
      </w:r>
      <w:r w:rsidRPr="00CD7B80">
        <w:rPr>
          <w:sz w:val="20"/>
          <w:szCs w:val="20"/>
        </w:rPr>
        <w:t xml:space="preserve">, p. 13. </w:t>
      </w:r>
      <w:r w:rsidRPr="00CD7B80">
        <w:rPr>
          <w:sz w:val="20"/>
          <w:szCs w:val="20"/>
          <w:lang w:val="nl-NL"/>
        </w:rPr>
        <w:t>Sur les problèmes suscités par la vente d’un immeuble construit en violation des règles urbanistiques, voy. la contribution de J. Van Zuylen et J. Thiry.</w:t>
      </w:r>
    </w:p>
  </w:footnote>
  <w:footnote w:id="29">
    <w:p w14:paraId="52EB055A" w14:textId="16490A66" w:rsidR="002658C8" w:rsidRPr="00CD7B80" w:rsidRDefault="002658C8">
      <w:pPr>
        <w:pStyle w:val="Notedebasdepage"/>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Voy. ci-après, §A COMPLETER.</w:t>
      </w:r>
    </w:p>
  </w:footnote>
  <w:footnote w:id="30">
    <w:p w14:paraId="338A59F4" w14:textId="7AB55B4C"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 xml:space="preserve">A tout le moins dans le secteur de la construction. </w:t>
      </w:r>
      <w:r w:rsidRPr="00CD7B80">
        <w:rPr>
          <w:sz w:val="20"/>
          <w:szCs w:val="20"/>
          <w:lang w:val="fr-BE"/>
        </w:rPr>
        <w:t xml:space="preserve">Jurisprudence et doctrine majoritaires considèrent que ces règles sont d’ordre public (Voy. M. </w:t>
      </w:r>
      <w:r w:rsidRPr="00CD7B80">
        <w:rPr>
          <w:smallCaps/>
          <w:sz w:val="20"/>
          <w:szCs w:val="20"/>
          <w:lang w:val="fr-BE"/>
        </w:rPr>
        <w:t>Dupont</w:t>
      </w:r>
      <w:r w:rsidRPr="00CD7B80">
        <w:rPr>
          <w:sz w:val="20"/>
          <w:szCs w:val="20"/>
          <w:lang w:val="fr-BE"/>
        </w:rPr>
        <w:t xml:space="preserve">, « Professions réglementées et sanctions judiciaires et civiles », </w:t>
      </w:r>
      <w:r w:rsidRPr="00CD7B80">
        <w:rPr>
          <w:i/>
          <w:sz w:val="20"/>
          <w:szCs w:val="20"/>
          <w:lang w:val="fr-BE"/>
        </w:rPr>
        <w:t>J.T</w:t>
      </w:r>
      <w:r w:rsidRPr="00CD7B80">
        <w:rPr>
          <w:sz w:val="20"/>
          <w:szCs w:val="20"/>
          <w:lang w:val="fr-BE"/>
        </w:rPr>
        <w:t>., 2015, liv. 6615, p. 631 et les réf. citées). Pour une appréciation critique de cette qualification, voy. la contribution d’A. Leleux et S. Vanvrekom ci-après.</w:t>
      </w:r>
    </w:p>
  </w:footnote>
  <w:footnote w:id="31">
    <w:p w14:paraId="34E8BEB7" w14:textId="696BBF42"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Cass., 30 janvier 2015, </w:t>
      </w:r>
      <w:r w:rsidRPr="00CD7B80">
        <w:rPr>
          <w:i/>
          <w:sz w:val="20"/>
          <w:szCs w:val="20"/>
        </w:rPr>
        <w:t>Pas</w:t>
      </w:r>
      <w:r w:rsidRPr="00CD7B80">
        <w:rPr>
          <w:sz w:val="20"/>
          <w:szCs w:val="20"/>
        </w:rPr>
        <w:t>., 2015/1, p. 252.</w:t>
      </w:r>
    </w:p>
  </w:footnote>
  <w:footnote w:id="32">
    <w:p w14:paraId="559C138B" w14:textId="597EEFCB"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 xml:space="preserve">Dans le même sens, voy. </w:t>
      </w:r>
      <w:r w:rsidRPr="00CD7B80">
        <w:rPr>
          <w:sz w:val="20"/>
          <w:szCs w:val="20"/>
          <w:lang w:val="fr-BE"/>
        </w:rPr>
        <w:t xml:space="preserve">P. </w:t>
      </w:r>
      <w:r w:rsidRPr="00CD7B80">
        <w:rPr>
          <w:smallCaps/>
          <w:sz w:val="20"/>
          <w:szCs w:val="20"/>
          <w:lang w:val="fr-BE"/>
        </w:rPr>
        <w:t>Wéry</w:t>
      </w:r>
      <w:r w:rsidRPr="00CD7B80">
        <w:rPr>
          <w:sz w:val="20"/>
          <w:szCs w:val="20"/>
          <w:lang w:val="fr-BE"/>
        </w:rPr>
        <w:t xml:space="preserve">, </w:t>
      </w:r>
      <w:r w:rsidRPr="00CD7B80">
        <w:rPr>
          <w:i/>
          <w:sz w:val="20"/>
          <w:szCs w:val="20"/>
          <w:lang w:val="fr-BE"/>
        </w:rPr>
        <w:t>Droit des obligations</w:t>
      </w:r>
      <w:r w:rsidRPr="00CD7B80">
        <w:rPr>
          <w:sz w:val="20"/>
          <w:szCs w:val="20"/>
          <w:lang w:val="fr-BE"/>
        </w:rPr>
        <w:t xml:space="preserve">, </w:t>
      </w:r>
      <w:r w:rsidRPr="00CD7B80">
        <w:rPr>
          <w:i/>
          <w:sz w:val="20"/>
          <w:szCs w:val="20"/>
          <w:lang w:val="nl-NL"/>
        </w:rPr>
        <w:t>op. cit.</w:t>
      </w:r>
      <w:r w:rsidRPr="00CD7B80">
        <w:rPr>
          <w:sz w:val="20"/>
          <w:szCs w:val="20"/>
          <w:lang w:val="fr-BE"/>
        </w:rPr>
        <w:t>, vol. 1, p. 317.</w:t>
      </w:r>
    </w:p>
  </w:footnote>
  <w:footnote w:id="33">
    <w:p w14:paraId="7A8D854D" w14:textId="77777777" w:rsidR="002658C8" w:rsidRPr="00CD7B80" w:rsidRDefault="002658C8" w:rsidP="00CA7549">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 xml:space="preserve">Pour une appréciation plus </w:t>
      </w:r>
      <w:r>
        <w:rPr>
          <w:sz w:val="20"/>
          <w:szCs w:val="20"/>
          <w:lang w:val="nl-NL"/>
        </w:rPr>
        <w:t>critique</w:t>
      </w:r>
      <w:r w:rsidRPr="00CD7B80">
        <w:rPr>
          <w:sz w:val="20"/>
          <w:szCs w:val="20"/>
          <w:lang w:val="nl-NL"/>
        </w:rPr>
        <w:t xml:space="preserve">, voy. la contribution de F. Peeraer et S. Stijns ci-après, qui doutent de l’opportunité de prononcer la nullité lorsque les prestations ont </w:t>
      </w:r>
      <w:r>
        <w:rPr>
          <w:sz w:val="20"/>
          <w:szCs w:val="20"/>
          <w:lang w:val="nl-NL"/>
        </w:rPr>
        <w:t>déjà été exécutées et qu’elles ne peuvent facilement être restituées (§§24-25).</w:t>
      </w:r>
    </w:p>
  </w:footnote>
  <w:footnote w:id="34">
    <w:p w14:paraId="5877E61A" w14:textId="77777777" w:rsidR="002658C8" w:rsidRPr="004F5E66" w:rsidRDefault="002658C8" w:rsidP="004F5E66">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Article 5, §9 de l’arrêté du 4 septembre 2003 du Gouvernement de la Région de Bruxelles-Capitale déterminant les exigences élémentaires en matière de sécurité, de salubrit</w:t>
      </w:r>
      <w:r>
        <w:rPr>
          <w:sz w:val="20"/>
          <w:szCs w:val="20"/>
          <w:lang w:val="nl-NL"/>
        </w:rPr>
        <w:t>é et d'équipement des logements (</w:t>
      </w:r>
      <w:r w:rsidRPr="004F5E66">
        <w:rPr>
          <w:i/>
          <w:sz w:val="20"/>
          <w:szCs w:val="20"/>
          <w:lang w:val="nl-NL"/>
        </w:rPr>
        <w:t>M.B.</w:t>
      </w:r>
      <w:r w:rsidRPr="004F5E66">
        <w:rPr>
          <w:sz w:val="20"/>
          <w:szCs w:val="20"/>
          <w:lang w:val="nl-NL"/>
        </w:rPr>
        <w:t>,</w:t>
      </w:r>
    </w:p>
    <w:p w14:paraId="3335400F" w14:textId="5FBD95A0" w:rsidR="002658C8" w:rsidRPr="00CD7B80" w:rsidRDefault="002658C8" w:rsidP="004F5E66">
      <w:pPr>
        <w:pStyle w:val="Notedebasdepage"/>
        <w:jc w:val="both"/>
        <w:rPr>
          <w:sz w:val="20"/>
          <w:szCs w:val="20"/>
          <w:lang w:val="nl-NL"/>
        </w:rPr>
      </w:pPr>
      <w:r>
        <w:rPr>
          <w:sz w:val="20"/>
          <w:szCs w:val="20"/>
          <w:lang w:val="nl-NL"/>
        </w:rPr>
        <w:t>19 septembre 2003).</w:t>
      </w:r>
    </w:p>
  </w:footnote>
  <w:footnote w:id="35">
    <w:p w14:paraId="600081DA" w14:textId="0433DA9E"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Voy. notamment l’article 89, §1er, alinéa 1er, ancien du Code wallon de l’aménagement du territoire, de l’urbanisme et du patrimoine.</w:t>
      </w:r>
    </w:p>
  </w:footnote>
  <w:footnote w:id="36">
    <w:p w14:paraId="6DE9BEE6" w14:textId="3FF18F92"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 xml:space="preserve">Il ne s’agit pas d’un cas d’école : voy. Cass., 6 février 2009, </w:t>
      </w:r>
      <w:r w:rsidRPr="00CD7B80">
        <w:rPr>
          <w:i/>
          <w:sz w:val="20"/>
          <w:szCs w:val="20"/>
          <w:lang w:val="nl-NL"/>
        </w:rPr>
        <w:t>Pas</w:t>
      </w:r>
      <w:r>
        <w:rPr>
          <w:sz w:val="20"/>
          <w:szCs w:val="20"/>
          <w:lang w:val="nl-NL"/>
        </w:rPr>
        <w:t>., I, liv. 2, n°358, dans lequel</w:t>
      </w:r>
      <w:r w:rsidRPr="00CD7B80">
        <w:rPr>
          <w:sz w:val="20"/>
          <w:szCs w:val="20"/>
          <w:lang w:val="nl-NL"/>
        </w:rPr>
        <w:t xml:space="preserve"> la Cour </w:t>
      </w:r>
      <w:r>
        <w:rPr>
          <w:sz w:val="20"/>
          <w:szCs w:val="20"/>
          <w:lang w:val="nl-NL"/>
        </w:rPr>
        <w:t>met à néant</w:t>
      </w:r>
      <w:r w:rsidRPr="00CD7B80">
        <w:rPr>
          <w:sz w:val="20"/>
          <w:szCs w:val="20"/>
          <w:lang w:val="nl-NL"/>
        </w:rPr>
        <w:t xml:space="preserve"> l’arrêt qui rejette une demande d’annulation d’un contrat de vente, les juges d’appel ayant méconnu « l'autorité de chose jugée erga omnes et l'effet rétroactif</w:t>
      </w:r>
      <w:r w:rsidRPr="00CD7B80">
        <w:rPr>
          <w:sz w:val="20"/>
          <w:szCs w:val="20"/>
          <w:lang w:val="fr-BE"/>
        </w:rPr>
        <w:t xml:space="preserve"> »</w:t>
      </w:r>
      <w:r w:rsidRPr="00CD7B80">
        <w:rPr>
          <w:sz w:val="20"/>
          <w:szCs w:val="20"/>
          <w:lang w:val="nl-NL"/>
        </w:rPr>
        <w:t xml:space="preserve"> de la décision d'annulation</w:t>
      </w:r>
      <w:r>
        <w:rPr>
          <w:sz w:val="20"/>
          <w:szCs w:val="20"/>
          <w:lang w:val="nl-NL"/>
        </w:rPr>
        <w:t>, par le Conseil d’Etat du permis de lotir</w:t>
      </w:r>
      <w:r w:rsidRPr="00CD7B80">
        <w:rPr>
          <w:sz w:val="20"/>
          <w:szCs w:val="20"/>
          <w:lang w:val="nl-NL"/>
        </w:rPr>
        <w:t xml:space="preserve">. </w:t>
      </w:r>
    </w:p>
  </w:footnote>
  <w:footnote w:id="37">
    <w:p w14:paraId="3926E816" w14:textId="31B35F0C" w:rsidR="002658C8" w:rsidRPr="00CD7B80" w:rsidRDefault="002658C8" w:rsidP="00CA177F">
      <w:pPr>
        <w:jc w:val="both"/>
        <w:rPr>
          <w:sz w:val="20"/>
          <w:szCs w:val="20"/>
        </w:rPr>
      </w:pPr>
      <w:r w:rsidRPr="00CD7B80">
        <w:rPr>
          <w:rStyle w:val="Marquenotebasdepage"/>
          <w:sz w:val="20"/>
          <w:szCs w:val="20"/>
        </w:rPr>
        <w:footnoteRef/>
      </w:r>
      <w:r w:rsidRPr="00CD7B80">
        <w:rPr>
          <w:sz w:val="20"/>
          <w:szCs w:val="20"/>
        </w:rPr>
        <w:t xml:space="preserve"> Article 1</w:t>
      </w:r>
      <w:r w:rsidRPr="00CD7B80">
        <w:rPr>
          <w:sz w:val="20"/>
          <w:szCs w:val="20"/>
          <w:vertAlign w:val="superscript"/>
        </w:rPr>
        <w:t>er</w:t>
      </w:r>
      <w:r w:rsidRPr="00CD7B80">
        <w:rPr>
          <w:sz w:val="20"/>
          <w:szCs w:val="20"/>
        </w:rPr>
        <w:t>, 1°, e) de l’arrêté royal du 29 janvier 2007 relatif à la capacité professionnelle pour l'exercice des activités indépendantes dans les métiers de la construction et de l'électrotechnique, ainsi que de l'entreprise générale (</w:t>
      </w:r>
      <w:r w:rsidRPr="00CD7B80">
        <w:rPr>
          <w:i/>
          <w:sz w:val="20"/>
          <w:szCs w:val="20"/>
        </w:rPr>
        <w:t>M.B</w:t>
      </w:r>
      <w:r w:rsidRPr="00CD7B80">
        <w:rPr>
          <w:sz w:val="20"/>
          <w:szCs w:val="20"/>
        </w:rPr>
        <w:t>., 27 février 2007).</w:t>
      </w:r>
    </w:p>
  </w:footnote>
  <w:footnote w:id="38">
    <w:p w14:paraId="1AECA5C9" w14:textId="53279FF9"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Voy. ci-après la contribution de S. Vanvrekom et A. Leleux.</w:t>
      </w:r>
    </w:p>
  </w:footnote>
  <w:footnote w:id="39">
    <w:p w14:paraId="5F21FCA8" w14:textId="4B703114"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Pr>
          <w:sz w:val="20"/>
          <w:szCs w:val="20"/>
          <w:lang w:val="nl-NL"/>
        </w:rPr>
        <w:t>Voy. notamment l’article 4 de l’</w:t>
      </w:r>
      <w:r w:rsidRPr="00CD7B80">
        <w:rPr>
          <w:sz w:val="20"/>
          <w:szCs w:val="20"/>
          <w:lang w:val="nl-NL"/>
        </w:rPr>
        <w:t>arrêté du 8 janvier 1996 relatif aux marchés publics de travaux, de fournitures et de services et aux concessions de travaux publics (</w:t>
      </w:r>
      <w:r w:rsidRPr="00CD7B80">
        <w:rPr>
          <w:i/>
          <w:sz w:val="20"/>
          <w:szCs w:val="20"/>
          <w:lang w:val="nl-NL"/>
        </w:rPr>
        <w:t>M.B</w:t>
      </w:r>
      <w:r w:rsidRPr="00CD7B80">
        <w:rPr>
          <w:sz w:val="20"/>
          <w:szCs w:val="20"/>
          <w:lang w:val="nl-NL"/>
        </w:rPr>
        <w:t>., 26 janvier 1996).</w:t>
      </w:r>
    </w:p>
  </w:footnote>
  <w:footnote w:id="40">
    <w:p w14:paraId="2E45850B" w14:textId="3D0FAA3B" w:rsidR="002658C8" w:rsidRPr="00CD7B80" w:rsidRDefault="002658C8" w:rsidP="003F06AA">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Voy.</w:t>
      </w:r>
      <w:r>
        <w:rPr>
          <w:sz w:val="20"/>
          <w:szCs w:val="20"/>
          <w:lang w:val="nl-NL"/>
        </w:rPr>
        <w:t xml:space="preserve"> notamment, dans cet ouvrage, </w:t>
      </w:r>
      <w:r w:rsidRPr="00CD7B80">
        <w:rPr>
          <w:sz w:val="20"/>
          <w:szCs w:val="20"/>
          <w:lang w:val="nl-NL"/>
        </w:rPr>
        <w:t>les contributions de J. Van Zuylen et J. Thiry</w:t>
      </w:r>
      <w:r>
        <w:rPr>
          <w:sz w:val="20"/>
          <w:szCs w:val="20"/>
          <w:lang w:val="nl-NL"/>
        </w:rPr>
        <w:t>, de N. Bernard et L. Debroux</w:t>
      </w:r>
      <w:r w:rsidRPr="00CD7B80">
        <w:rPr>
          <w:sz w:val="20"/>
          <w:szCs w:val="20"/>
          <w:lang w:val="nl-NL"/>
        </w:rPr>
        <w:t xml:space="preserve"> et de F. Peeraer et S. Stijns. </w:t>
      </w:r>
    </w:p>
  </w:footnote>
  <w:footnote w:id="41">
    <w:p w14:paraId="68A2F3CA" w14:textId="77777777" w:rsidR="002658C8" w:rsidRPr="00CD7B80" w:rsidRDefault="002658C8" w:rsidP="00CA177F">
      <w:pPr>
        <w:pStyle w:val="Notedebasdepage"/>
        <w:jc w:val="both"/>
        <w:rPr>
          <w:sz w:val="20"/>
          <w:szCs w:val="20"/>
          <w:lang w:val="fr-BE"/>
        </w:rPr>
      </w:pPr>
      <w:r w:rsidRPr="00CD7B80">
        <w:rPr>
          <w:rStyle w:val="Marquenotebasdepage"/>
          <w:sz w:val="20"/>
          <w:szCs w:val="20"/>
        </w:rPr>
        <w:footnoteRef/>
      </w:r>
      <w:r w:rsidRPr="00CD7B80">
        <w:rPr>
          <w:sz w:val="20"/>
          <w:szCs w:val="20"/>
        </w:rPr>
        <w:t xml:space="preserve"> Qui ne constitue certes pas un principe général de droit</w:t>
      </w:r>
      <w:r w:rsidRPr="00CD7B80">
        <w:rPr>
          <w:sz w:val="20"/>
          <w:szCs w:val="20"/>
          <w:lang w:val="fr-BE"/>
        </w:rPr>
        <w:t xml:space="preserve"> (Cass., 8 juin 2000, </w:t>
      </w:r>
      <w:r w:rsidRPr="00CD7B80">
        <w:rPr>
          <w:i/>
          <w:sz w:val="20"/>
          <w:szCs w:val="20"/>
          <w:lang w:val="fr-BE"/>
        </w:rPr>
        <w:t>Pas</w:t>
      </w:r>
      <w:r w:rsidRPr="00CD7B80">
        <w:rPr>
          <w:sz w:val="20"/>
          <w:szCs w:val="20"/>
          <w:lang w:val="fr-BE"/>
        </w:rPr>
        <w:t>., I, n°349).</w:t>
      </w:r>
    </w:p>
  </w:footnote>
  <w:footnote w:id="42">
    <w:p w14:paraId="3A088FD9" w14:textId="3BD8C263"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J.-Fr. </w:t>
      </w:r>
      <w:r w:rsidRPr="00CD7B80">
        <w:rPr>
          <w:smallCaps/>
          <w:sz w:val="20"/>
          <w:szCs w:val="20"/>
        </w:rPr>
        <w:t>Romain</w:t>
      </w:r>
      <w:r w:rsidRPr="00CD7B80">
        <w:rPr>
          <w:sz w:val="20"/>
          <w:szCs w:val="20"/>
        </w:rPr>
        <w:t xml:space="preserve">, « Le principe Accessorium sequitur principale, les accessoires juridiques immobiliers sous la forme de certificats 1 et le droit de la vente (obligation de délivrance documentaire) », </w:t>
      </w:r>
      <w:r w:rsidRPr="00CD7B80">
        <w:rPr>
          <w:i/>
          <w:sz w:val="20"/>
          <w:szCs w:val="20"/>
        </w:rPr>
        <w:t>Revue pratique de l’immobilier</w:t>
      </w:r>
      <w:r w:rsidRPr="00CD7B80">
        <w:rPr>
          <w:sz w:val="20"/>
          <w:szCs w:val="20"/>
        </w:rPr>
        <w:t xml:space="preserve">, 2/2012, p. 39. En ce qui concerne le régime particulier des sociétés, voy. ci-après la contribution de G. De Pierpont et de H. Culot. </w:t>
      </w:r>
    </w:p>
  </w:footnote>
  <w:footnote w:id="43">
    <w:p w14:paraId="39403200" w14:textId="77777777"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Le texte parle, de façon impropre, de résiliation.</w:t>
      </w:r>
    </w:p>
  </w:footnote>
  <w:footnote w:id="44">
    <w:p w14:paraId="54C19EDB" w14:textId="45210B5A"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Il devrait </w:t>
      </w:r>
      <w:r w:rsidRPr="00CD7B80">
        <w:rPr>
          <w:sz w:val="20"/>
          <w:szCs w:val="20"/>
          <w:lang w:val="nl-NL"/>
        </w:rPr>
        <w:t>bientôt être suivi par les législateurs wallon et bruxellois (voy. ci-après la contribution de N. Bernard et L. Debroux</w:t>
      </w:r>
      <w:r>
        <w:rPr>
          <w:sz w:val="20"/>
          <w:szCs w:val="20"/>
          <w:lang w:val="nl-NL"/>
        </w:rPr>
        <w:t>, §§28-29</w:t>
      </w:r>
      <w:r w:rsidRPr="00CD7B80">
        <w:rPr>
          <w:sz w:val="20"/>
          <w:szCs w:val="20"/>
          <w:lang w:val="nl-NL"/>
        </w:rPr>
        <w:t>).</w:t>
      </w:r>
      <w:r>
        <w:rPr>
          <w:sz w:val="20"/>
          <w:szCs w:val="20"/>
          <w:lang w:val="nl-NL"/>
        </w:rPr>
        <w:t xml:space="preserve"> </w:t>
      </w:r>
      <w:r>
        <w:rPr>
          <w:sz w:val="20"/>
          <w:szCs w:val="20"/>
          <w:lang w:val="nl-NL"/>
        </w:rPr>
        <w:tab/>
      </w:r>
    </w:p>
  </w:footnote>
  <w:footnote w:id="45">
    <w:p w14:paraId="53467B88" w14:textId="3E44F1E8" w:rsidR="002658C8" w:rsidRPr="00CD7B80" w:rsidRDefault="002658C8" w:rsidP="00CA177F">
      <w:pPr>
        <w:jc w:val="both"/>
        <w:rPr>
          <w:sz w:val="20"/>
          <w:szCs w:val="20"/>
        </w:rPr>
      </w:pPr>
      <w:r w:rsidRPr="00CD7B80">
        <w:rPr>
          <w:rStyle w:val="Marquenotebasdepage"/>
          <w:sz w:val="20"/>
          <w:szCs w:val="20"/>
        </w:rPr>
        <w:footnoteRef/>
      </w:r>
      <w:r w:rsidRPr="00CD7B80">
        <w:rPr>
          <w:sz w:val="20"/>
          <w:szCs w:val="20"/>
        </w:rPr>
        <w:t xml:space="preserve"> </w:t>
      </w:r>
      <w:r w:rsidRPr="00CD7B80">
        <w:rPr>
          <w:sz w:val="20"/>
          <w:szCs w:val="20"/>
          <w:lang w:val="nl-NL"/>
        </w:rPr>
        <w:t xml:space="preserve">Dans le même sens, voy. M. </w:t>
      </w:r>
      <w:r w:rsidRPr="00CD7B80">
        <w:rPr>
          <w:smallCaps/>
          <w:sz w:val="20"/>
          <w:szCs w:val="20"/>
          <w:lang w:val="nl-NL"/>
        </w:rPr>
        <w:t>Dambre</w:t>
      </w:r>
      <w:r w:rsidRPr="00CD7B80">
        <w:rPr>
          <w:sz w:val="20"/>
          <w:szCs w:val="20"/>
          <w:lang w:val="nl-NL"/>
        </w:rPr>
        <w:t xml:space="preserve">, </w:t>
      </w:r>
      <w:r w:rsidRPr="00CD7B80">
        <w:rPr>
          <w:sz w:val="20"/>
          <w:szCs w:val="20"/>
        </w:rPr>
        <w:t>«</w:t>
      </w:r>
      <w:r w:rsidRPr="00CD7B80">
        <w:rPr>
          <w:sz w:val="20"/>
          <w:szCs w:val="20"/>
          <w:lang w:val="nl-NL"/>
        </w:rPr>
        <w:t xml:space="preserve"> Hoe nuttig is nietig? Bedenkingen bij de nietigverklaring van een huurcontract wegens een inbreuk op gewestelijke kwaliteitsnormen</w:t>
      </w:r>
      <w:r w:rsidRPr="00CD7B80">
        <w:rPr>
          <w:sz w:val="20"/>
          <w:szCs w:val="20"/>
        </w:rPr>
        <w:t xml:space="preserve"> »</w:t>
      </w:r>
      <w:r w:rsidRPr="00CD7B80">
        <w:rPr>
          <w:sz w:val="20"/>
          <w:szCs w:val="20"/>
          <w:lang w:val="nl-NL"/>
        </w:rPr>
        <w:t xml:space="preserve">, </w:t>
      </w:r>
      <w:r w:rsidRPr="00CD7B80">
        <w:rPr>
          <w:i/>
          <w:sz w:val="20"/>
          <w:szCs w:val="20"/>
          <w:lang w:val="nl-NL"/>
        </w:rPr>
        <w:t>J.J.P.</w:t>
      </w:r>
      <w:r w:rsidRPr="00CD7B80">
        <w:rPr>
          <w:sz w:val="20"/>
          <w:szCs w:val="20"/>
          <w:lang w:val="nl-NL"/>
        </w:rPr>
        <w:t>, 2008/3-4, p. 122.</w:t>
      </w:r>
      <w:r w:rsidRPr="00CD7B80">
        <w:rPr>
          <w:sz w:val="20"/>
          <w:szCs w:val="20"/>
        </w:rPr>
        <w:t xml:space="preserve"> La Cour constitutionnelle a également considéré que </w:t>
      </w:r>
      <w:r w:rsidRPr="00CD7B80">
        <w:rPr>
          <w:sz w:val="20"/>
          <w:szCs w:val="20"/>
          <w:lang w:val="nl-NL"/>
        </w:rPr>
        <w:t xml:space="preserve">le Code du logement wallon, en ce qu’il ne prévoit que des sanctions de nature administrative et pénale, ne règle « que les rapports entre le bailleur et l'autorité publique </w:t>
      </w:r>
      <w:r w:rsidRPr="00CD7B80">
        <w:rPr>
          <w:sz w:val="20"/>
          <w:szCs w:val="20"/>
        </w:rPr>
        <w:t>»</w:t>
      </w:r>
      <w:r w:rsidRPr="00CD7B80">
        <w:rPr>
          <w:sz w:val="20"/>
          <w:szCs w:val="20"/>
          <w:lang w:val="nl-NL"/>
        </w:rPr>
        <w:t xml:space="preserve"> et il ne peut </w:t>
      </w:r>
      <w:r w:rsidRPr="00CD7B80">
        <w:rPr>
          <w:sz w:val="20"/>
          <w:szCs w:val="20"/>
        </w:rPr>
        <w:t xml:space="preserve">« </w:t>
      </w:r>
      <w:r w:rsidRPr="00CD7B80">
        <w:rPr>
          <w:sz w:val="20"/>
          <w:szCs w:val="20"/>
          <w:lang w:val="nl-NL"/>
        </w:rPr>
        <w:t>en être déduit que l'article 2, alinéa 4, de la loi du 20 février 1991 aurait été modifié, fût-ce implicitement, par le législateur décrétal wallon » (</w:t>
      </w:r>
      <w:r w:rsidRPr="00CD7B80">
        <w:rPr>
          <w:sz w:val="20"/>
          <w:szCs w:val="20"/>
        </w:rPr>
        <w:t xml:space="preserve">C. const., 14 mai 2003, </w:t>
      </w:r>
      <w:r w:rsidRPr="00CD7B80">
        <w:rPr>
          <w:i/>
          <w:sz w:val="20"/>
          <w:szCs w:val="20"/>
        </w:rPr>
        <w:t>J.T.,</w:t>
      </w:r>
      <w:r w:rsidRPr="00CD7B80">
        <w:rPr>
          <w:sz w:val="20"/>
          <w:szCs w:val="20"/>
        </w:rPr>
        <w:t xml:space="preserve"> 2003, pp. 681-682, point B.3</w:t>
      </w:r>
      <w:r w:rsidRPr="00CD7B80">
        <w:rPr>
          <w:sz w:val="20"/>
          <w:szCs w:val="20"/>
          <w:lang w:val="nl-NL"/>
        </w:rPr>
        <w:t>).</w:t>
      </w:r>
    </w:p>
  </w:footnote>
  <w:footnote w:id="46">
    <w:p w14:paraId="51FDF39C" w14:textId="6440091C" w:rsidR="002658C8" w:rsidRPr="00CD7B80" w:rsidRDefault="002658C8" w:rsidP="00CA177F">
      <w:pPr>
        <w:jc w:val="both"/>
        <w:rPr>
          <w:sz w:val="20"/>
          <w:szCs w:val="20"/>
        </w:rPr>
      </w:pPr>
      <w:r w:rsidRPr="00CD7B80">
        <w:rPr>
          <w:rStyle w:val="Marquenotebasdepage"/>
          <w:sz w:val="20"/>
          <w:szCs w:val="20"/>
        </w:rPr>
        <w:footnoteRef/>
      </w:r>
      <w:r w:rsidRPr="00CD7B80">
        <w:rPr>
          <w:sz w:val="20"/>
          <w:szCs w:val="20"/>
        </w:rPr>
        <w:t xml:space="preserve"> Voy., en ce sens, J.P. Etterbeek, 22 juin 2009, </w:t>
      </w:r>
      <w:r w:rsidRPr="00CD7B80">
        <w:rPr>
          <w:i/>
          <w:sz w:val="20"/>
          <w:szCs w:val="20"/>
        </w:rPr>
        <w:t>J.J.P.,</w:t>
      </w:r>
      <w:r w:rsidRPr="00CD7B80">
        <w:rPr>
          <w:sz w:val="20"/>
          <w:szCs w:val="20"/>
        </w:rPr>
        <w:t xml:space="preserve"> 2011, p. 397 (et la note critique de V. Defraiteur). </w:t>
      </w:r>
    </w:p>
  </w:footnote>
  <w:footnote w:id="47">
    <w:p w14:paraId="61B97629" w14:textId="349BB7A6" w:rsidR="002658C8" w:rsidRPr="00CD7B80" w:rsidRDefault="002658C8" w:rsidP="00CA177F">
      <w:pPr>
        <w:pStyle w:val="Notedebasdepage"/>
        <w:jc w:val="both"/>
        <w:rPr>
          <w:sz w:val="20"/>
          <w:szCs w:val="20"/>
        </w:rPr>
      </w:pPr>
      <w:r w:rsidRPr="00CD7B80">
        <w:rPr>
          <w:rStyle w:val="Marquenotebasdepage"/>
          <w:sz w:val="20"/>
          <w:szCs w:val="20"/>
        </w:rPr>
        <w:footnoteRef/>
      </w:r>
      <w:r w:rsidRPr="00CD7B80">
        <w:rPr>
          <w:sz w:val="20"/>
          <w:szCs w:val="20"/>
        </w:rPr>
        <w:t xml:space="preserve"> Dans un arrêt du 25 mars 2011, la Cour de cassation a admis qu’il puisse être renoncé à une nullité prévue par le décret flamand en matière d’attestation du sol, qu’elle a qualifiée de relative, en dehors des formalités prévues par le législateur (</w:t>
      </w:r>
      <w:r w:rsidRPr="00CD7B80">
        <w:rPr>
          <w:i/>
          <w:sz w:val="20"/>
          <w:szCs w:val="20"/>
          <w:lang w:val="fr-BE"/>
        </w:rPr>
        <w:t>Pas.</w:t>
      </w:r>
      <w:r w:rsidRPr="00CD7B80">
        <w:rPr>
          <w:sz w:val="20"/>
          <w:szCs w:val="20"/>
          <w:lang w:val="fr-BE"/>
        </w:rPr>
        <w:t xml:space="preserve">, 2011, p. 891). </w:t>
      </w:r>
    </w:p>
  </w:footnote>
  <w:footnote w:id="48">
    <w:p w14:paraId="623B2DBF" w14:textId="6128A8B9"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 xml:space="preserve">Il l’était encore davantage dans la loi précédente (voy. </w:t>
      </w:r>
      <w:r w:rsidRPr="00CD7B80">
        <w:rPr>
          <w:sz w:val="20"/>
          <w:szCs w:val="20"/>
        </w:rPr>
        <w:t xml:space="preserve">M. </w:t>
      </w:r>
      <w:r w:rsidRPr="00CD7B80">
        <w:rPr>
          <w:smallCaps/>
          <w:sz w:val="20"/>
          <w:szCs w:val="20"/>
        </w:rPr>
        <w:t>Vanderstraeten</w:t>
      </w:r>
      <w:r w:rsidRPr="00CD7B80">
        <w:rPr>
          <w:sz w:val="20"/>
          <w:szCs w:val="20"/>
        </w:rPr>
        <w:t xml:space="preserve">, « Ordre et désordre publics : le sort du contrat conclu en violation des règles d’attribution des marchés publics », in </w:t>
      </w:r>
      <w:r w:rsidRPr="00CD7B80">
        <w:rPr>
          <w:i/>
          <w:sz w:val="20"/>
          <w:szCs w:val="20"/>
        </w:rPr>
        <w:t>Chronique des Marchés Publics 2015-2016</w:t>
      </w:r>
      <w:r w:rsidRPr="00CD7B80">
        <w:rPr>
          <w:sz w:val="20"/>
          <w:szCs w:val="20"/>
        </w:rPr>
        <w:t>, Bruxelles, EBP Consulting, 2016, p. 925).</w:t>
      </w:r>
    </w:p>
  </w:footnote>
  <w:footnote w:id="49">
    <w:p w14:paraId="706CD7AB" w14:textId="2BD214CF"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Voy. </w:t>
      </w:r>
      <w:r>
        <w:rPr>
          <w:sz w:val="20"/>
          <w:szCs w:val="20"/>
        </w:rPr>
        <w:t>notamment les articles 21 et</w:t>
      </w:r>
      <w:r w:rsidRPr="00CD7B80">
        <w:rPr>
          <w:sz w:val="20"/>
          <w:szCs w:val="20"/>
        </w:rPr>
        <w:t xml:space="preserve"> </w:t>
      </w:r>
      <w:r w:rsidRPr="00CD7B80">
        <w:rPr>
          <w:sz w:val="20"/>
          <w:szCs w:val="20"/>
          <w:lang w:val="nl-NL"/>
        </w:rPr>
        <w:t>30, alinéa 3</w:t>
      </w:r>
      <w:r>
        <w:rPr>
          <w:sz w:val="20"/>
          <w:szCs w:val="20"/>
          <w:lang w:val="nl-NL"/>
        </w:rPr>
        <w:t xml:space="preserve"> </w:t>
      </w:r>
      <w:r w:rsidRPr="00CD7B80">
        <w:rPr>
          <w:sz w:val="20"/>
          <w:szCs w:val="20"/>
        </w:rPr>
        <w:t>de la loi du 17 juin 2013 relative à la motivation, à l'information et aux voies de recours en matière de marchés publics et de certains marchés de travaux, de fournitures et de services (</w:t>
      </w:r>
      <w:r w:rsidRPr="00CD7B80">
        <w:rPr>
          <w:i/>
          <w:sz w:val="20"/>
          <w:szCs w:val="20"/>
        </w:rPr>
        <w:t>M.B</w:t>
      </w:r>
      <w:r w:rsidRPr="00CD7B80">
        <w:rPr>
          <w:sz w:val="20"/>
          <w:szCs w:val="20"/>
        </w:rPr>
        <w:t xml:space="preserve">., 21 juin 2013). </w:t>
      </w:r>
      <w:r w:rsidRPr="00CD7B80">
        <w:rPr>
          <w:sz w:val="20"/>
          <w:szCs w:val="20"/>
          <w:lang w:val="nl-NL"/>
        </w:rPr>
        <w:t xml:space="preserve">Sur les éventuels problèmes de constitutionnalité posés par ces dispositions, voy. E. </w:t>
      </w:r>
      <w:r w:rsidRPr="00CD7B80">
        <w:rPr>
          <w:smallCaps/>
          <w:sz w:val="20"/>
          <w:szCs w:val="20"/>
          <w:lang w:val="nl-NL"/>
        </w:rPr>
        <w:t>Thibaut</w:t>
      </w:r>
      <w:r w:rsidRPr="00CD7B80">
        <w:rPr>
          <w:sz w:val="20"/>
          <w:szCs w:val="20"/>
          <w:lang w:val="nl-NL"/>
        </w:rPr>
        <w:t xml:space="preserve">, </w:t>
      </w:r>
      <w:r w:rsidRPr="00CD7B80">
        <w:rPr>
          <w:sz w:val="20"/>
          <w:szCs w:val="20"/>
        </w:rPr>
        <w:t xml:space="preserve">« La protection juridictionnelle dans le contentieux des marchés publics », in </w:t>
      </w:r>
      <w:r w:rsidRPr="00CD7B80">
        <w:rPr>
          <w:i/>
          <w:sz w:val="20"/>
          <w:szCs w:val="20"/>
        </w:rPr>
        <w:t>La réforme des marchés publics</w:t>
      </w:r>
      <w:r w:rsidRPr="00CD7B80">
        <w:rPr>
          <w:sz w:val="20"/>
          <w:szCs w:val="20"/>
        </w:rPr>
        <w:t>, Bruxelles, Bruylant, 2014, pp. 270-271.</w:t>
      </w:r>
    </w:p>
  </w:footnote>
  <w:footnote w:id="50">
    <w:p w14:paraId="0ECF0811" w14:textId="281DDE21" w:rsidR="002658C8" w:rsidRPr="00CD7B80" w:rsidRDefault="002658C8" w:rsidP="00CA177F">
      <w:pPr>
        <w:jc w:val="both"/>
        <w:rPr>
          <w:sz w:val="20"/>
          <w:szCs w:val="20"/>
        </w:rPr>
      </w:pPr>
      <w:r w:rsidRPr="00CD7B80">
        <w:rPr>
          <w:rStyle w:val="Marquenotebasdepage"/>
          <w:sz w:val="20"/>
          <w:szCs w:val="20"/>
        </w:rPr>
        <w:footnoteRef/>
      </w:r>
      <w:r w:rsidRPr="00CD7B80">
        <w:rPr>
          <w:sz w:val="20"/>
          <w:szCs w:val="20"/>
        </w:rPr>
        <w:t xml:space="preserve"> Sur la question, voy. M. </w:t>
      </w:r>
      <w:r w:rsidRPr="00CD7B80">
        <w:rPr>
          <w:smallCaps/>
          <w:sz w:val="20"/>
          <w:szCs w:val="20"/>
        </w:rPr>
        <w:t>Vanderstraeten</w:t>
      </w:r>
      <w:r w:rsidRPr="00CD7B80">
        <w:rPr>
          <w:sz w:val="20"/>
          <w:szCs w:val="20"/>
        </w:rPr>
        <w:t xml:space="preserve">, « Déclaration d'absence d'effets versus sécurité juridique des contrats : un équilibre européen », </w:t>
      </w:r>
      <w:r w:rsidRPr="00CD7B80">
        <w:rPr>
          <w:i/>
          <w:sz w:val="20"/>
          <w:szCs w:val="20"/>
        </w:rPr>
        <w:t>J.T</w:t>
      </w:r>
      <w:r w:rsidRPr="00CD7B80">
        <w:rPr>
          <w:sz w:val="20"/>
          <w:szCs w:val="20"/>
        </w:rPr>
        <w:t>., 2015/8, n° 6594, pp. 200-203 et les références citées. Dans un arrêt Fastweb du 11 septembre 2014, la Cour de justice a considéré que l’article 2 quinquies, paragraphe 4, de la directive 89/665/CEE du Conseil, du 21 décembre 1989, portant coordination des dispositions législatives, réglementaires et administratives relatives à l’application des procédures de recours en matière de passation des marchés publics de fournitures et de travaux exclut qu’un marché passé sans publication préalable d’un avis de marché au Journal officiel de l’Union européenne alors que cela n’était pas autorisé en vertu de la directive 2004/18/CE du Parlement européen et du Conseil, du 31 mars 2004, relative à la coordination des procédures de passation des marchés publics de travaux, de fournitures et de services, cette disposition exclut que ce marché soit déclaré dépourvu d’effets lorsque les conditions énoncées à ladite disposition sont remplies (EU:C:2014:2194).</w:t>
      </w:r>
    </w:p>
  </w:footnote>
  <w:footnote w:id="51">
    <w:p w14:paraId="7E1B20DA" w14:textId="4FBF5F82" w:rsidR="002658C8" w:rsidRPr="00CD7B80" w:rsidRDefault="002658C8" w:rsidP="00CA177F">
      <w:pPr>
        <w:pStyle w:val="Notedebasdepage"/>
        <w:jc w:val="both"/>
        <w:rPr>
          <w:sz w:val="20"/>
          <w:szCs w:val="20"/>
        </w:rPr>
      </w:pPr>
      <w:r w:rsidRPr="00CD7B80">
        <w:rPr>
          <w:rStyle w:val="Marquenotebasdepage"/>
          <w:sz w:val="20"/>
          <w:szCs w:val="20"/>
        </w:rPr>
        <w:footnoteRef/>
      </w:r>
      <w:r w:rsidRPr="00CD7B80">
        <w:rPr>
          <w:sz w:val="20"/>
          <w:szCs w:val="20"/>
        </w:rPr>
        <w:t xml:space="preserve"> Voy. également les autres techniques évoquées par P. Wéry, notamment la confimation des nullités relatives, la réfection et la théorie des nullités virtuelles sur laquelle nous reviendons (« La régularisation d’un contrat entaché d’une cause de nullité », note sous Liège, 23 décembre 2014, </w:t>
      </w:r>
      <w:r w:rsidRPr="00CD7B80">
        <w:rPr>
          <w:i/>
          <w:sz w:val="20"/>
          <w:szCs w:val="20"/>
        </w:rPr>
        <w:t>J.L.M.B.</w:t>
      </w:r>
      <w:r w:rsidRPr="00CD7B80">
        <w:rPr>
          <w:sz w:val="20"/>
          <w:szCs w:val="20"/>
        </w:rPr>
        <w:t>, 2016, pp. 298-300).</w:t>
      </w:r>
    </w:p>
  </w:footnote>
  <w:footnote w:id="52">
    <w:p w14:paraId="5D33D843" w14:textId="7D14BAC0"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Sur ces techniques, voy. la contribution de J.-F. Germain et Y. Ninane. Voy. également la solution proposée par F. Peeraer et S. Stijns dans leur contribution. </w:t>
      </w:r>
    </w:p>
  </w:footnote>
  <w:footnote w:id="53">
    <w:p w14:paraId="41BD533C" w14:textId="738EF88E"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Cass., 22 septembre 2008, </w:t>
      </w:r>
      <w:r w:rsidRPr="00CD7B80">
        <w:rPr>
          <w:i/>
          <w:sz w:val="20"/>
          <w:szCs w:val="20"/>
        </w:rPr>
        <w:t>Pas</w:t>
      </w:r>
      <w:r w:rsidRPr="00CD7B80">
        <w:rPr>
          <w:sz w:val="20"/>
          <w:szCs w:val="20"/>
        </w:rPr>
        <w:t xml:space="preserve">., 2008, n°491 ; Cass., 2 avril 2015, </w:t>
      </w:r>
      <w:r w:rsidRPr="00CD7B80">
        <w:rPr>
          <w:i/>
          <w:sz w:val="20"/>
          <w:szCs w:val="20"/>
        </w:rPr>
        <w:t>Pas</w:t>
      </w:r>
      <w:r w:rsidRPr="00CD7B80">
        <w:rPr>
          <w:sz w:val="20"/>
          <w:szCs w:val="20"/>
        </w:rPr>
        <w:t>., 2015/4, p. 908.</w:t>
      </w:r>
      <w:r>
        <w:rPr>
          <w:sz w:val="20"/>
          <w:szCs w:val="20"/>
        </w:rPr>
        <w:t xml:space="preserve"> </w:t>
      </w:r>
    </w:p>
  </w:footnote>
  <w:footnote w:id="54">
    <w:p w14:paraId="03B1D286" w14:textId="6A8A9544" w:rsidR="002658C8" w:rsidRPr="00CD7B80" w:rsidRDefault="002658C8" w:rsidP="00CA177F">
      <w:pPr>
        <w:pStyle w:val="Notedebasdepage"/>
        <w:jc w:val="both"/>
        <w:rPr>
          <w:sz w:val="20"/>
          <w:szCs w:val="20"/>
        </w:rPr>
      </w:pPr>
      <w:r w:rsidRPr="00CD7B80">
        <w:rPr>
          <w:rStyle w:val="Marquenotebasdepage"/>
          <w:sz w:val="20"/>
          <w:szCs w:val="20"/>
        </w:rPr>
        <w:footnoteRef/>
      </w:r>
      <w:r w:rsidRPr="00CD7B80">
        <w:rPr>
          <w:sz w:val="20"/>
          <w:szCs w:val="20"/>
        </w:rPr>
        <w:t xml:space="preserve"> P. Wéry la définit comme la technique consistant « à valider un acte affecté d’une cause de nullité en lui apportant l’élément qui lui manque », le contrat se trouvant « ainsi purgé, à l’égard de tous, du défaut qui affecte sa validité » (« La régularisation d’un contrat entaché d’une cause de nullité », </w:t>
      </w:r>
      <w:r w:rsidRPr="00CD7B80">
        <w:rPr>
          <w:i/>
          <w:sz w:val="20"/>
          <w:szCs w:val="20"/>
        </w:rPr>
        <w:t>op. cit.</w:t>
      </w:r>
      <w:r w:rsidRPr="00CD7B80">
        <w:rPr>
          <w:sz w:val="20"/>
          <w:szCs w:val="20"/>
        </w:rPr>
        <w:t>, p. 296).</w:t>
      </w:r>
    </w:p>
  </w:footnote>
  <w:footnote w:id="55">
    <w:p w14:paraId="508B0224" w14:textId="3548087B"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P. </w:t>
      </w:r>
      <w:r w:rsidRPr="00CD7B80">
        <w:rPr>
          <w:smallCaps/>
          <w:sz w:val="20"/>
          <w:szCs w:val="20"/>
        </w:rPr>
        <w:t>Van Ommeslaghe</w:t>
      </w:r>
      <w:r w:rsidRPr="00CD7B80">
        <w:rPr>
          <w:sz w:val="20"/>
          <w:szCs w:val="20"/>
        </w:rPr>
        <w:t xml:space="preserve">, </w:t>
      </w:r>
      <w:r w:rsidRPr="00CD7B80">
        <w:rPr>
          <w:i/>
          <w:sz w:val="20"/>
          <w:szCs w:val="20"/>
        </w:rPr>
        <w:t>Traité de droit civil belge (De Page)</w:t>
      </w:r>
      <w:r w:rsidRPr="00CD7B80">
        <w:rPr>
          <w:sz w:val="20"/>
          <w:szCs w:val="20"/>
        </w:rPr>
        <w:t xml:space="preserve">, </w:t>
      </w:r>
      <w:r w:rsidRPr="00CD7B80">
        <w:rPr>
          <w:i/>
          <w:sz w:val="20"/>
          <w:szCs w:val="20"/>
        </w:rPr>
        <w:t>op. cit.</w:t>
      </w:r>
      <w:r w:rsidRPr="00CD7B80">
        <w:rPr>
          <w:sz w:val="20"/>
          <w:szCs w:val="20"/>
        </w:rPr>
        <w:t>, t. II, vol. 3, p. 981.</w:t>
      </w:r>
    </w:p>
  </w:footnote>
  <w:footnote w:id="56">
    <w:p w14:paraId="7A8B8C66" w14:textId="77777777" w:rsidR="002658C8" w:rsidRPr="00CD7B80" w:rsidRDefault="002658C8" w:rsidP="00CA177F">
      <w:pPr>
        <w:pStyle w:val="Notedebasdepage"/>
        <w:jc w:val="both"/>
        <w:rPr>
          <w:sz w:val="20"/>
          <w:szCs w:val="20"/>
        </w:rPr>
      </w:pPr>
      <w:r w:rsidRPr="00CD7B80">
        <w:rPr>
          <w:rStyle w:val="Marquenotebasdepage"/>
          <w:sz w:val="20"/>
          <w:szCs w:val="20"/>
        </w:rPr>
        <w:footnoteRef/>
      </w:r>
      <w:r w:rsidRPr="00CD7B80">
        <w:rPr>
          <w:sz w:val="20"/>
          <w:szCs w:val="20"/>
        </w:rPr>
        <w:t xml:space="preserve"> Liège (14</w:t>
      </w:r>
      <w:r w:rsidRPr="00CD7B80">
        <w:rPr>
          <w:sz w:val="20"/>
          <w:szCs w:val="20"/>
          <w:vertAlign w:val="superscript"/>
        </w:rPr>
        <w:t>e</w:t>
      </w:r>
      <w:r w:rsidRPr="00CD7B80">
        <w:rPr>
          <w:sz w:val="20"/>
          <w:szCs w:val="20"/>
        </w:rPr>
        <w:t xml:space="preserve"> ch.), 23 décembre 2014, </w:t>
      </w:r>
      <w:r w:rsidRPr="00CD7B80">
        <w:rPr>
          <w:i/>
          <w:sz w:val="20"/>
          <w:szCs w:val="20"/>
        </w:rPr>
        <w:t>J.L.M.B.</w:t>
      </w:r>
      <w:r w:rsidRPr="00CD7B80">
        <w:rPr>
          <w:sz w:val="20"/>
          <w:szCs w:val="20"/>
        </w:rPr>
        <w:t xml:space="preserve">, 2016, p. 292 et note </w:t>
      </w:r>
      <w:r w:rsidRPr="00CD7B80">
        <w:rPr>
          <w:smallCaps/>
          <w:sz w:val="20"/>
          <w:szCs w:val="20"/>
        </w:rPr>
        <w:t>P. Wéry</w:t>
      </w:r>
      <w:r w:rsidRPr="00CD7B80">
        <w:rPr>
          <w:sz w:val="20"/>
          <w:szCs w:val="20"/>
        </w:rPr>
        <w:t>.</w:t>
      </w:r>
    </w:p>
  </w:footnote>
  <w:footnote w:id="57">
    <w:p w14:paraId="33311D58" w14:textId="12CD1713" w:rsidR="002658C8" w:rsidRPr="00CD7B80" w:rsidRDefault="002658C8" w:rsidP="00CA177F">
      <w:pPr>
        <w:pStyle w:val="Notedebasdepage"/>
        <w:jc w:val="both"/>
        <w:rPr>
          <w:sz w:val="20"/>
          <w:szCs w:val="20"/>
          <w:lang w:val="en-GB"/>
        </w:rPr>
      </w:pPr>
      <w:r w:rsidRPr="00CD7B80">
        <w:rPr>
          <w:rStyle w:val="Marquenotebasdepage"/>
          <w:sz w:val="20"/>
          <w:szCs w:val="20"/>
        </w:rPr>
        <w:footnoteRef/>
      </w:r>
      <w:r w:rsidRPr="00CD7B80">
        <w:rPr>
          <w:sz w:val="20"/>
          <w:szCs w:val="20"/>
          <w:lang w:val="en-GB"/>
        </w:rPr>
        <w:t xml:space="preserve"> P. </w:t>
      </w:r>
      <w:r w:rsidRPr="00CD7B80">
        <w:rPr>
          <w:smallCaps/>
          <w:sz w:val="20"/>
          <w:szCs w:val="20"/>
          <w:lang w:val="en-GB"/>
        </w:rPr>
        <w:t>Wéry</w:t>
      </w:r>
      <w:r w:rsidRPr="00CD7B80">
        <w:rPr>
          <w:sz w:val="20"/>
          <w:szCs w:val="20"/>
          <w:lang w:val="en-GB"/>
        </w:rPr>
        <w:t xml:space="preserve">, </w:t>
      </w:r>
      <w:r w:rsidRPr="00CD7B80">
        <w:rPr>
          <w:sz w:val="20"/>
          <w:szCs w:val="20"/>
        </w:rPr>
        <w:t xml:space="preserve">« La régularisation d’un contrat entaché d’une cause de nullité », </w:t>
      </w:r>
      <w:r w:rsidRPr="00CD7B80">
        <w:rPr>
          <w:i/>
          <w:sz w:val="20"/>
          <w:szCs w:val="20"/>
          <w:lang w:val="en-GB"/>
        </w:rPr>
        <w:t>op. cit.</w:t>
      </w:r>
      <w:r w:rsidRPr="00CD7B80">
        <w:rPr>
          <w:sz w:val="20"/>
          <w:szCs w:val="20"/>
        </w:rPr>
        <w:t>, p. 298.</w:t>
      </w:r>
    </w:p>
  </w:footnote>
  <w:footnote w:id="58">
    <w:p w14:paraId="3BE97F14" w14:textId="77777777" w:rsidR="002658C8" w:rsidRPr="00CD7B80" w:rsidRDefault="002658C8" w:rsidP="00CA177F">
      <w:pPr>
        <w:pStyle w:val="Notedebasdepage"/>
        <w:jc w:val="both"/>
        <w:rPr>
          <w:sz w:val="20"/>
          <w:szCs w:val="20"/>
        </w:rPr>
      </w:pPr>
      <w:r w:rsidRPr="00CD7B80">
        <w:rPr>
          <w:rStyle w:val="Marquenotebasdepage"/>
          <w:sz w:val="20"/>
          <w:szCs w:val="20"/>
        </w:rPr>
        <w:footnoteRef/>
      </w:r>
      <w:r w:rsidRPr="00CD7B80">
        <w:rPr>
          <w:sz w:val="20"/>
          <w:szCs w:val="20"/>
        </w:rPr>
        <w:t xml:space="preserve"> Liège (14</w:t>
      </w:r>
      <w:r w:rsidRPr="00CD7B80">
        <w:rPr>
          <w:sz w:val="20"/>
          <w:szCs w:val="20"/>
          <w:vertAlign w:val="superscript"/>
        </w:rPr>
        <w:t>e</w:t>
      </w:r>
      <w:r w:rsidRPr="00CD7B80">
        <w:rPr>
          <w:sz w:val="20"/>
          <w:szCs w:val="20"/>
        </w:rPr>
        <w:t xml:space="preserve"> ch.), 23 décembre 2014, </w:t>
      </w:r>
      <w:r w:rsidRPr="00CD7B80">
        <w:rPr>
          <w:i/>
          <w:sz w:val="20"/>
          <w:szCs w:val="20"/>
        </w:rPr>
        <w:t>J.L.M.B.</w:t>
      </w:r>
      <w:r w:rsidRPr="00CD7B80">
        <w:rPr>
          <w:sz w:val="20"/>
          <w:szCs w:val="20"/>
        </w:rPr>
        <w:t xml:space="preserve">, 2016, p. 292 et note </w:t>
      </w:r>
      <w:r w:rsidRPr="00CD7B80">
        <w:rPr>
          <w:smallCaps/>
          <w:sz w:val="20"/>
          <w:szCs w:val="20"/>
        </w:rPr>
        <w:t>P. Wéry</w:t>
      </w:r>
      <w:r w:rsidRPr="00CD7B80">
        <w:rPr>
          <w:sz w:val="20"/>
          <w:szCs w:val="20"/>
        </w:rPr>
        <w:t>.</w:t>
      </w:r>
    </w:p>
  </w:footnote>
  <w:footnote w:id="59">
    <w:p w14:paraId="38ED25FF" w14:textId="27D97A45" w:rsidR="002658C8" w:rsidRPr="00CD7B80" w:rsidRDefault="002658C8" w:rsidP="00CA177F">
      <w:pPr>
        <w:pStyle w:val="Notedebasdepage"/>
        <w:jc w:val="both"/>
        <w:rPr>
          <w:sz w:val="20"/>
          <w:szCs w:val="20"/>
        </w:rPr>
      </w:pPr>
      <w:r w:rsidRPr="00CD7B80">
        <w:rPr>
          <w:rStyle w:val="Marquenotebasdepage"/>
          <w:sz w:val="20"/>
          <w:szCs w:val="20"/>
        </w:rPr>
        <w:footnoteRef/>
      </w:r>
      <w:r w:rsidRPr="00CD7B80">
        <w:rPr>
          <w:sz w:val="20"/>
          <w:szCs w:val="20"/>
        </w:rPr>
        <w:t xml:space="preserve"> P. </w:t>
      </w:r>
      <w:r w:rsidRPr="00CD7B80">
        <w:rPr>
          <w:smallCaps/>
          <w:sz w:val="20"/>
          <w:szCs w:val="20"/>
        </w:rPr>
        <w:t>Wéry</w:t>
      </w:r>
      <w:r w:rsidRPr="00CD7B80">
        <w:rPr>
          <w:sz w:val="20"/>
          <w:szCs w:val="20"/>
        </w:rPr>
        <w:t xml:space="preserve">, « La régularisation d’un contrat entaché d’une cause de nullité », </w:t>
      </w:r>
      <w:r>
        <w:rPr>
          <w:i/>
          <w:sz w:val="20"/>
          <w:szCs w:val="20"/>
        </w:rPr>
        <w:t>op. cit.</w:t>
      </w:r>
      <w:r w:rsidRPr="00CD7B80">
        <w:rPr>
          <w:sz w:val="20"/>
          <w:szCs w:val="20"/>
        </w:rPr>
        <w:t>, p. 300.</w:t>
      </w:r>
    </w:p>
  </w:footnote>
  <w:footnote w:id="60">
    <w:p w14:paraId="7F275F64" w14:textId="77777777"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A. Posez relève ainsi que « (p)eu de thèses dans l’histoire de la doctrine juridique française ont connu la notoriété qui s’attache encore aujourd’hui à la thèse de René Japiot » (« La théorie des nullités. Le centenaire d’une mystification », </w:t>
      </w:r>
      <w:r w:rsidRPr="00CD7B80">
        <w:rPr>
          <w:i/>
          <w:sz w:val="20"/>
          <w:szCs w:val="20"/>
        </w:rPr>
        <w:t>R.T.D.civ</w:t>
      </w:r>
      <w:r w:rsidRPr="00CD7B80">
        <w:rPr>
          <w:sz w:val="20"/>
          <w:szCs w:val="20"/>
        </w:rPr>
        <w:t>., 2011, p. 658).</w:t>
      </w:r>
    </w:p>
  </w:footnote>
  <w:footnote w:id="61">
    <w:p w14:paraId="3E3E1879" w14:textId="77777777"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 xml:space="preserve">Cl. </w:t>
      </w:r>
      <w:r w:rsidRPr="00CD7B80">
        <w:rPr>
          <w:smallCaps/>
          <w:sz w:val="20"/>
          <w:szCs w:val="20"/>
          <w:lang w:val="nl-NL"/>
        </w:rPr>
        <w:t>Renard</w:t>
      </w:r>
      <w:r w:rsidRPr="00CD7B80">
        <w:rPr>
          <w:sz w:val="20"/>
          <w:szCs w:val="20"/>
          <w:lang w:val="nl-NL"/>
        </w:rPr>
        <w:t xml:space="preserve"> et E. </w:t>
      </w:r>
      <w:r w:rsidRPr="00CD7B80">
        <w:rPr>
          <w:smallCaps/>
          <w:sz w:val="20"/>
          <w:szCs w:val="20"/>
          <w:lang w:val="nl-NL"/>
        </w:rPr>
        <w:t>Vieuxjean</w:t>
      </w:r>
      <w:r w:rsidRPr="00CD7B80">
        <w:rPr>
          <w:sz w:val="20"/>
          <w:szCs w:val="20"/>
          <w:lang w:val="nl-NL"/>
        </w:rPr>
        <w:t xml:space="preserve">, </w:t>
      </w:r>
      <w:r w:rsidRPr="00CD7B80">
        <w:rPr>
          <w:sz w:val="20"/>
          <w:szCs w:val="20"/>
        </w:rPr>
        <w:t xml:space="preserve">« </w:t>
      </w:r>
      <w:r w:rsidRPr="00CD7B80">
        <w:rPr>
          <w:sz w:val="20"/>
          <w:szCs w:val="20"/>
          <w:lang w:val="nl-NL"/>
        </w:rPr>
        <w:t>Nullité, inexistence et annulabilité en Droit civil belge</w:t>
      </w:r>
      <w:r w:rsidRPr="00CD7B80">
        <w:rPr>
          <w:sz w:val="20"/>
          <w:szCs w:val="20"/>
        </w:rPr>
        <w:t xml:space="preserve"> »</w:t>
      </w:r>
      <w:r w:rsidRPr="00CD7B80">
        <w:rPr>
          <w:sz w:val="20"/>
          <w:szCs w:val="20"/>
          <w:lang w:val="nl-NL"/>
        </w:rPr>
        <w:t xml:space="preserve">, </w:t>
      </w:r>
      <w:r w:rsidRPr="00CD7B80">
        <w:rPr>
          <w:i/>
          <w:sz w:val="20"/>
          <w:szCs w:val="20"/>
          <w:lang w:val="nl-NL"/>
        </w:rPr>
        <w:t>Rev. Fac. Dr. Liège</w:t>
      </w:r>
      <w:r w:rsidRPr="00CD7B80">
        <w:rPr>
          <w:sz w:val="20"/>
          <w:szCs w:val="20"/>
          <w:lang w:val="nl-NL"/>
        </w:rPr>
        <w:t>, 1962, pp. 244-250.</w:t>
      </w:r>
    </w:p>
  </w:footnote>
  <w:footnote w:id="62">
    <w:p w14:paraId="6F3DBDD5" w14:textId="08E95263" w:rsidR="002658C8" w:rsidRPr="00CD7B80" w:rsidRDefault="002658C8" w:rsidP="00CA177F">
      <w:pPr>
        <w:pStyle w:val="Notedebasdepage"/>
        <w:jc w:val="both"/>
        <w:rPr>
          <w:sz w:val="20"/>
          <w:szCs w:val="20"/>
          <w:lang w:val="fr-BE"/>
        </w:rPr>
      </w:pPr>
      <w:r w:rsidRPr="00CD7B80">
        <w:rPr>
          <w:rStyle w:val="Marquenotebasdepage"/>
          <w:sz w:val="20"/>
          <w:szCs w:val="20"/>
        </w:rPr>
        <w:footnoteRef/>
      </w:r>
      <w:r w:rsidRPr="00CD7B80">
        <w:rPr>
          <w:sz w:val="20"/>
          <w:szCs w:val="20"/>
        </w:rPr>
        <w:t xml:space="preserve"> P. </w:t>
      </w:r>
      <w:r w:rsidRPr="00CD7B80">
        <w:rPr>
          <w:smallCaps/>
          <w:sz w:val="20"/>
          <w:szCs w:val="20"/>
        </w:rPr>
        <w:t>Van Ommeslaghe</w:t>
      </w:r>
      <w:r w:rsidRPr="00CD7B80">
        <w:rPr>
          <w:sz w:val="20"/>
          <w:szCs w:val="20"/>
        </w:rPr>
        <w:t xml:space="preserve">, </w:t>
      </w:r>
      <w:r w:rsidRPr="00CD7B80">
        <w:rPr>
          <w:i/>
          <w:sz w:val="20"/>
          <w:szCs w:val="20"/>
        </w:rPr>
        <w:t>Traité de droit civil belge (De Page)</w:t>
      </w:r>
      <w:r w:rsidRPr="00CD7B80">
        <w:rPr>
          <w:sz w:val="20"/>
          <w:szCs w:val="20"/>
        </w:rPr>
        <w:t xml:space="preserve">, </w:t>
      </w:r>
      <w:r>
        <w:rPr>
          <w:i/>
          <w:sz w:val="20"/>
          <w:szCs w:val="20"/>
        </w:rPr>
        <w:t>op. cit.</w:t>
      </w:r>
      <w:r w:rsidRPr="00CD7B80">
        <w:rPr>
          <w:sz w:val="20"/>
          <w:szCs w:val="20"/>
        </w:rPr>
        <w:t xml:space="preserve">, vol. </w:t>
      </w:r>
      <w:r>
        <w:rPr>
          <w:sz w:val="20"/>
          <w:szCs w:val="20"/>
        </w:rPr>
        <w:t>2</w:t>
      </w:r>
      <w:r w:rsidRPr="00CD7B80">
        <w:rPr>
          <w:sz w:val="20"/>
          <w:szCs w:val="20"/>
        </w:rPr>
        <w:t xml:space="preserve">, p. 970 ; </w:t>
      </w:r>
      <w:r w:rsidRPr="00CD7B80">
        <w:rPr>
          <w:sz w:val="20"/>
          <w:szCs w:val="20"/>
          <w:lang w:val="nl-NL"/>
        </w:rPr>
        <w:t xml:space="preserve">M. </w:t>
      </w:r>
      <w:r w:rsidRPr="00CD7B80">
        <w:rPr>
          <w:smallCaps/>
          <w:sz w:val="20"/>
          <w:szCs w:val="20"/>
          <w:lang w:val="nl-NL"/>
        </w:rPr>
        <w:t>Fabre-Magnan</w:t>
      </w:r>
      <w:r w:rsidRPr="00CD7B80">
        <w:rPr>
          <w:sz w:val="20"/>
          <w:szCs w:val="20"/>
          <w:lang w:val="nl-NL"/>
        </w:rPr>
        <w:t xml:space="preserve">, </w:t>
      </w:r>
      <w:r w:rsidRPr="00CD7B80">
        <w:rPr>
          <w:i/>
          <w:sz w:val="20"/>
          <w:szCs w:val="20"/>
          <w:lang w:val="nl-NL"/>
        </w:rPr>
        <w:t>Les obligations</w:t>
      </w:r>
      <w:r w:rsidRPr="00CD7B80">
        <w:rPr>
          <w:sz w:val="20"/>
          <w:szCs w:val="20"/>
          <w:lang w:val="nl-NL"/>
        </w:rPr>
        <w:t>, Paris, P.U.F., 2004, p. 396.</w:t>
      </w:r>
    </w:p>
  </w:footnote>
  <w:footnote w:id="63">
    <w:p w14:paraId="2EA89974" w14:textId="77777777"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 xml:space="preserve">Cl. </w:t>
      </w:r>
      <w:r w:rsidRPr="00CD7B80">
        <w:rPr>
          <w:smallCaps/>
          <w:sz w:val="20"/>
          <w:szCs w:val="20"/>
          <w:lang w:val="nl-NL"/>
        </w:rPr>
        <w:t>Renard</w:t>
      </w:r>
      <w:r w:rsidRPr="00CD7B80">
        <w:rPr>
          <w:sz w:val="20"/>
          <w:szCs w:val="20"/>
          <w:lang w:val="nl-NL"/>
        </w:rPr>
        <w:t xml:space="preserve"> et E. </w:t>
      </w:r>
      <w:r w:rsidRPr="00CD7B80">
        <w:rPr>
          <w:smallCaps/>
          <w:sz w:val="20"/>
          <w:szCs w:val="20"/>
          <w:lang w:val="nl-NL"/>
        </w:rPr>
        <w:t>Vieuxjean</w:t>
      </w:r>
      <w:r w:rsidRPr="00CD7B80">
        <w:rPr>
          <w:sz w:val="20"/>
          <w:szCs w:val="20"/>
          <w:lang w:val="nl-NL"/>
        </w:rPr>
        <w:t xml:space="preserve">, </w:t>
      </w:r>
      <w:r w:rsidRPr="00CD7B80">
        <w:rPr>
          <w:sz w:val="20"/>
          <w:szCs w:val="20"/>
        </w:rPr>
        <w:t xml:space="preserve">« </w:t>
      </w:r>
      <w:r w:rsidRPr="00CD7B80">
        <w:rPr>
          <w:sz w:val="20"/>
          <w:szCs w:val="20"/>
          <w:lang w:val="nl-NL"/>
        </w:rPr>
        <w:t>Nullité, inexistence et annulabilité en Droit civil belge</w:t>
      </w:r>
      <w:r w:rsidRPr="00CD7B80">
        <w:rPr>
          <w:sz w:val="20"/>
          <w:szCs w:val="20"/>
        </w:rPr>
        <w:t xml:space="preserve"> »</w:t>
      </w:r>
      <w:r w:rsidRPr="00CD7B80">
        <w:rPr>
          <w:sz w:val="20"/>
          <w:szCs w:val="20"/>
          <w:lang w:val="nl-NL"/>
        </w:rPr>
        <w:t xml:space="preserve">, </w:t>
      </w:r>
      <w:r w:rsidRPr="00CD7B80">
        <w:rPr>
          <w:i/>
          <w:sz w:val="20"/>
          <w:szCs w:val="20"/>
          <w:lang w:val="nl-NL"/>
        </w:rPr>
        <w:t>op. cit.</w:t>
      </w:r>
      <w:r w:rsidRPr="00CD7B80">
        <w:rPr>
          <w:sz w:val="20"/>
          <w:szCs w:val="20"/>
          <w:lang w:val="nl-NL"/>
        </w:rPr>
        <w:t xml:space="preserve">, pp. 253-254. </w:t>
      </w:r>
    </w:p>
  </w:footnote>
  <w:footnote w:id="64">
    <w:p w14:paraId="3CBBE7B1" w14:textId="65A16D3E" w:rsidR="002658C8" w:rsidRPr="00CD7B80" w:rsidRDefault="002658C8" w:rsidP="00CA177F">
      <w:pPr>
        <w:pStyle w:val="Notedebasdepage"/>
        <w:jc w:val="both"/>
        <w:rPr>
          <w:sz w:val="20"/>
          <w:szCs w:val="20"/>
        </w:rPr>
      </w:pPr>
      <w:r w:rsidRPr="00CD7B80">
        <w:rPr>
          <w:rStyle w:val="Marquenotebasdepage"/>
          <w:sz w:val="20"/>
          <w:szCs w:val="20"/>
        </w:rPr>
        <w:footnoteRef/>
      </w:r>
      <w:r w:rsidRPr="00CD7B80">
        <w:rPr>
          <w:sz w:val="20"/>
          <w:szCs w:val="20"/>
        </w:rPr>
        <w:t xml:space="preserve"> R. </w:t>
      </w:r>
      <w:r w:rsidRPr="00CD7B80">
        <w:rPr>
          <w:smallCaps/>
          <w:sz w:val="20"/>
          <w:szCs w:val="20"/>
        </w:rPr>
        <w:t>Jafferali</w:t>
      </w:r>
      <w:r w:rsidRPr="00CD7B80">
        <w:rPr>
          <w:sz w:val="20"/>
          <w:szCs w:val="20"/>
        </w:rPr>
        <w:t xml:space="preserve">, </w:t>
      </w:r>
      <w:r w:rsidRPr="00CD7B80">
        <w:rPr>
          <w:i/>
          <w:sz w:val="20"/>
          <w:szCs w:val="20"/>
        </w:rPr>
        <w:t>La rétroactivité dans le contrat. Etude d’une notion fonctionnelle à la lumière du principe constitutionnel d’égalité</w:t>
      </w:r>
      <w:r w:rsidRPr="00CD7B80">
        <w:rPr>
          <w:sz w:val="20"/>
          <w:szCs w:val="20"/>
        </w:rPr>
        <w:t xml:space="preserve">, Bruxelles, Bruylant, 2014, p. 174. </w:t>
      </w:r>
    </w:p>
  </w:footnote>
  <w:footnote w:id="65">
    <w:p w14:paraId="10C7EBDE" w14:textId="0DFA8B71"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 xml:space="preserve">R. </w:t>
      </w:r>
      <w:r w:rsidRPr="00CD7B80">
        <w:rPr>
          <w:smallCaps/>
          <w:sz w:val="20"/>
          <w:szCs w:val="20"/>
          <w:lang w:val="nl-NL"/>
        </w:rPr>
        <w:t>Japiot</w:t>
      </w:r>
      <w:r w:rsidRPr="00CD7B80">
        <w:rPr>
          <w:sz w:val="20"/>
          <w:szCs w:val="20"/>
          <w:lang w:val="nl-NL"/>
        </w:rPr>
        <w:t xml:space="preserve">, </w:t>
      </w:r>
      <w:r w:rsidRPr="00CD7B80">
        <w:rPr>
          <w:i/>
          <w:sz w:val="20"/>
          <w:szCs w:val="20"/>
          <w:lang w:val="nl-NL"/>
        </w:rPr>
        <w:t>Des nullités en matière d’actes juridiques. Essai d’une théorie nouvelle</w:t>
      </w:r>
      <w:r w:rsidRPr="00CD7B80">
        <w:rPr>
          <w:sz w:val="20"/>
          <w:szCs w:val="20"/>
          <w:lang w:val="nl-NL"/>
        </w:rPr>
        <w:t>, Paris, Librairie nouvelle de droit et de jurisprudence, 1909, pp. 284-293</w:t>
      </w:r>
      <w:r w:rsidRPr="00CD7B80">
        <w:rPr>
          <w:sz w:val="20"/>
          <w:szCs w:val="20"/>
          <w:lang w:val="fr-BE"/>
        </w:rPr>
        <w:t xml:space="preserve">. </w:t>
      </w:r>
    </w:p>
  </w:footnote>
  <w:footnote w:id="66">
    <w:p w14:paraId="660282AE" w14:textId="082C339A"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 xml:space="preserve">A. </w:t>
      </w:r>
      <w:r w:rsidRPr="00CD7B80">
        <w:rPr>
          <w:smallCaps/>
          <w:sz w:val="20"/>
          <w:szCs w:val="20"/>
          <w:lang w:val="nl-NL"/>
        </w:rPr>
        <w:t>Posez</w:t>
      </w:r>
      <w:r w:rsidRPr="00CD7B80">
        <w:rPr>
          <w:sz w:val="20"/>
          <w:szCs w:val="20"/>
          <w:lang w:val="nl-NL"/>
        </w:rPr>
        <w:t xml:space="preserve">, </w:t>
      </w:r>
      <w:r w:rsidRPr="00CD7B80">
        <w:rPr>
          <w:sz w:val="20"/>
          <w:szCs w:val="20"/>
        </w:rPr>
        <w:t xml:space="preserve">« La théorie des nullités. Le centenaire d’une mystification », </w:t>
      </w:r>
      <w:r w:rsidRPr="00CD7B80">
        <w:rPr>
          <w:i/>
          <w:sz w:val="20"/>
          <w:szCs w:val="20"/>
          <w:lang w:val="nl-NL"/>
        </w:rPr>
        <w:t>op. cit.</w:t>
      </w:r>
      <w:r w:rsidRPr="00CD7B80">
        <w:rPr>
          <w:sz w:val="20"/>
          <w:szCs w:val="20"/>
        </w:rPr>
        <w:t xml:space="preserve">, pp. 648-653. </w:t>
      </w:r>
    </w:p>
  </w:footnote>
  <w:footnote w:id="67">
    <w:p w14:paraId="095C2ACD" w14:textId="77777777"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i/>
          <w:sz w:val="20"/>
          <w:szCs w:val="20"/>
          <w:lang w:val="nl-NL"/>
        </w:rPr>
        <w:t>Ibidem</w:t>
      </w:r>
      <w:r w:rsidRPr="00CD7B80">
        <w:rPr>
          <w:sz w:val="20"/>
          <w:szCs w:val="20"/>
        </w:rPr>
        <w:t>, pp. 653-654.</w:t>
      </w:r>
    </w:p>
  </w:footnote>
  <w:footnote w:id="68">
    <w:p w14:paraId="255322E5" w14:textId="1A3F60F9"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 xml:space="preserve">R. </w:t>
      </w:r>
      <w:r w:rsidRPr="00CD7B80">
        <w:rPr>
          <w:smallCaps/>
          <w:sz w:val="20"/>
          <w:szCs w:val="20"/>
          <w:lang w:val="nl-NL"/>
        </w:rPr>
        <w:t>Japiot</w:t>
      </w:r>
      <w:r w:rsidRPr="00CD7B80">
        <w:rPr>
          <w:sz w:val="20"/>
          <w:szCs w:val="20"/>
          <w:lang w:val="nl-NL"/>
        </w:rPr>
        <w:t xml:space="preserve">, </w:t>
      </w:r>
      <w:r w:rsidRPr="00CD7B80">
        <w:rPr>
          <w:i/>
          <w:sz w:val="20"/>
          <w:szCs w:val="20"/>
          <w:lang w:val="nl-NL"/>
        </w:rPr>
        <w:t>Des nullités en matière d’actes juridiques. Essai d’une théorie nouvelle</w:t>
      </w:r>
      <w:r w:rsidRPr="00CD7B80">
        <w:rPr>
          <w:sz w:val="20"/>
          <w:szCs w:val="20"/>
          <w:lang w:val="nl-NL"/>
        </w:rPr>
        <w:t xml:space="preserve">, </w:t>
      </w:r>
      <w:r w:rsidRPr="00CD7B80">
        <w:rPr>
          <w:i/>
          <w:sz w:val="20"/>
          <w:szCs w:val="20"/>
          <w:lang w:val="nl-NL"/>
        </w:rPr>
        <w:t>op. cit.</w:t>
      </w:r>
      <w:r w:rsidRPr="00CD7B80">
        <w:rPr>
          <w:sz w:val="20"/>
          <w:szCs w:val="20"/>
          <w:lang w:val="nl-NL"/>
        </w:rPr>
        <w:t>, p. 176</w:t>
      </w:r>
      <w:r w:rsidRPr="00CD7B80">
        <w:rPr>
          <w:sz w:val="20"/>
          <w:szCs w:val="20"/>
        </w:rPr>
        <w:t>.</w:t>
      </w:r>
    </w:p>
  </w:footnote>
  <w:footnote w:id="69">
    <w:p w14:paraId="4E19F3CE" w14:textId="6C295198"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i/>
          <w:sz w:val="20"/>
          <w:szCs w:val="20"/>
          <w:lang w:val="nl-NL"/>
        </w:rPr>
        <w:t>Ibid</w:t>
      </w:r>
      <w:r w:rsidRPr="00CD7B80">
        <w:rPr>
          <w:sz w:val="20"/>
          <w:szCs w:val="20"/>
          <w:lang w:val="nl-NL"/>
        </w:rPr>
        <w:t>., pp. 13 et 166-167</w:t>
      </w:r>
      <w:r w:rsidRPr="00CD7B80">
        <w:rPr>
          <w:sz w:val="20"/>
          <w:szCs w:val="20"/>
        </w:rPr>
        <w:t>.</w:t>
      </w:r>
    </w:p>
  </w:footnote>
  <w:footnote w:id="70">
    <w:p w14:paraId="036EE093" w14:textId="77777777"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i/>
          <w:sz w:val="20"/>
          <w:szCs w:val="20"/>
          <w:lang w:val="nl-NL"/>
        </w:rPr>
        <w:t>R.P.D.B</w:t>
      </w:r>
      <w:r w:rsidRPr="00CD7B80">
        <w:rPr>
          <w:sz w:val="20"/>
          <w:szCs w:val="20"/>
          <w:lang w:val="nl-NL"/>
        </w:rPr>
        <w:t xml:space="preserve">., t. IX, v° nullité, p. 6. </w:t>
      </w:r>
    </w:p>
  </w:footnote>
  <w:footnote w:id="71">
    <w:p w14:paraId="4FAA1868" w14:textId="77777777"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 xml:space="preserve">Cl. </w:t>
      </w:r>
      <w:r w:rsidRPr="00CD7B80">
        <w:rPr>
          <w:smallCaps/>
          <w:sz w:val="20"/>
          <w:szCs w:val="20"/>
          <w:lang w:val="nl-NL"/>
        </w:rPr>
        <w:t>Renard</w:t>
      </w:r>
      <w:r w:rsidRPr="00CD7B80">
        <w:rPr>
          <w:sz w:val="20"/>
          <w:szCs w:val="20"/>
          <w:lang w:val="nl-NL"/>
        </w:rPr>
        <w:t xml:space="preserve"> et E. </w:t>
      </w:r>
      <w:r w:rsidRPr="00CD7B80">
        <w:rPr>
          <w:smallCaps/>
          <w:sz w:val="20"/>
          <w:szCs w:val="20"/>
          <w:lang w:val="nl-NL"/>
        </w:rPr>
        <w:t>Vieuxjean</w:t>
      </w:r>
      <w:r w:rsidRPr="00CD7B80">
        <w:rPr>
          <w:sz w:val="20"/>
          <w:szCs w:val="20"/>
          <w:lang w:val="nl-NL"/>
        </w:rPr>
        <w:t xml:space="preserve">, </w:t>
      </w:r>
      <w:r w:rsidRPr="00CD7B80">
        <w:rPr>
          <w:sz w:val="20"/>
          <w:szCs w:val="20"/>
        </w:rPr>
        <w:t xml:space="preserve">« </w:t>
      </w:r>
      <w:r w:rsidRPr="00CD7B80">
        <w:rPr>
          <w:sz w:val="20"/>
          <w:szCs w:val="20"/>
          <w:lang w:val="nl-NL"/>
        </w:rPr>
        <w:t>Nullité, inexistence et annulabilité en Droit civil belge</w:t>
      </w:r>
      <w:r w:rsidRPr="00CD7B80">
        <w:rPr>
          <w:sz w:val="20"/>
          <w:szCs w:val="20"/>
        </w:rPr>
        <w:t xml:space="preserve"> »</w:t>
      </w:r>
      <w:r w:rsidRPr="00CD7B80">
        <w:rPr>
          <w:sz w:val="20"/>
          <w:szCs w:val="20"/>
          <w:lang w:val="nl-NL"/>
        </w:rPr>
        <w:t xml:space="preserve">, </w:t>
      </w:r>
      <w:r w:rsidRPr="00CD7B80">
        <w:rPr>
          <w:i/>
          <w:sz w:val="20"/>
          <w:szCs w:val="20"/>
          <w:lang w:val="nl-NL"/>
        </w:rPr>
        <w:t>op. cit.</w:t>
      </w:r>
      <w:r w:rsidRPr="00CD7B80">
        <w:rPr>
          <w:sz w:val="20"/>
          <w:szCs w:val="20"/>
          <w:lang w:val="nl-NL"/>
        </w:rPr>
        <w:t xml:space="preserve">, p. 265. Dans le même sens, et plus récemment, H. Jacquemin résume les </w:t>
      </w:r>
      <w:r w:rsidRPr="00CD7B80">
        <w:rPr>
          <w:sz w:val="20"/>
          <w:szCs w:val="20"/>
        </w:rPr>
        <w:t xml:space="preserve">« </w:t>
      </w:r>
      <w:r w:rsidRPr="00CD7B80">
        <w:rPr>
          <w:sz w:val="20"/>
          <w:szCs w:val="20"/>
          <w:lang w:val="nl-NL"/>
        </w:rPr>
        <w:t>deux principes de base sur lesquels repose la théorie des nullités et qui conditionnent son régime : les objectifs poursuivis par la règle violée, d’une part, le milieu dans lequel opère la sanction, d’autre part » (</w:t>
      </w:r>
      <w:r w:rsidRPr="00CD7B80">
        <w:rPr>
          <w:i/>
          <w:sz w:val="20"/>
          <w:szCs w:val="20"/>
          <w:lang w:val="fr-BE"/>
        </w:rPr>
        <w:t>Le formalisme contractuel. Mécanisme de protection de la partie faible</w:t>
      </w:r>
      <w:r w:rsidRPr="00CD7B80">
        <w:rPr>
          <w:sz w:val="20"/>
          <w:szCs w:val="20"/>
          <w:lang w:val="fr-BE"/>
        </w:rPr>
        <w:t xml:space="preserve">, Bruxelles, Larcier, 2010, p. 450). </w:t>
      </w:r>
    </w:p>
  </w:footnote>
  <w:footnote w:id="72">
    <w:p w14:paraId="35C02C53" w14:textId="77777777"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 xml:space="preserve">M. </w:t>
      </w:r>
      <w:r w:rsidRPr="00CD7B80">
        <w:rPr>
          <w:smallCaps/>
          <w:sz w:val="20"/>
          <w:szCs w:val="20"/>
          <w:lang w:val="nl-NL"/>
        </w:rPr>
        <w:t>Coipel</w:t>
      </w:r>
      <w:r w:rsidRPr="00CD7B80">
        <w:rPr>
          <w:sz w:val="20"/>
          <w:szCs w:val="20"/>
          <w:lang w:val="nl-NL"/>
        </w:rPr>
        <w:t xml:space="preserve">, </w:t>
      </w:r>
      <w:r w:rsidRPr="00CD7B80">
        <w:rPr>
          <w:i/>
          <w:sz w:val="20"/>
          <w:szCs w:val="20"/>
          <w:lang w:val="nl-NL"/>
        </w:rPr>
        <w:t>Eléments de théorie générale des contrats</w:t>
      </w:r>
      <w:r w:rsidRPr="00CD7B80">
        <w:rPr>
          <w:sz w:val="20"/>
          <w:szCs w:val="20"/>
          <w:lang w:val="nl-NL"/>
        </w:rPr>
        <w:t xml:space="preserve">, </w:t>
      </w:r>
      <w:r w:rsidRPr="00CD7B80">
        <w:rPr>
          <w:i/>
          <w:sz w:val="20"/>
          <w:szCs w:val="20"/>
        </w:rPr>
        <w:t>op. cit.</w:t>
      </w:r>
      <w:r w:rsidRPr="00CD7B80">
        <w:rPr>
          <w:sz w:val="20"/>
          <w:szCs w:val="20"/>
          <w:lang w:val="nl-NL"/>
        </w:rPr>
        <w:t xml:space="preserve">, p. 62. Dans le même sens, voy. </w:t>
      </w:r>
      <w:r w:rsidRPr="00CD7B80">
        <w:rPr>
          <w:sz w:val="20"/>
          <w:szCs w:val="20"/>
        </w:rPr>
        <w:t xml:space="preserve">J. </w:t>
      </w:r>
      <w:r w:rsidRPr="00CD7B80">
        <w:rPr>
          <w:smallCaps/>
          <w:sz w:val="20"/>
          <w:szCs w:val="20"/>
        </w:rPr>
        <w:t>Van Zuylen</w:t>
      </w:r>
      <w:r w:rsidRPr="00CD7B80">
        <w:rPr>
          <w:sz w:val="20"/>
          <w:szCs w:val="20"/>
        </w:rPr>
        <w:t xml:space="preserve">, « L’ordre public et le droit impératif dans les contrats spéciaux », in </w:t>
      </w:r>
      <w:r w:rsidRPr="00CD7B80">
        <w:rPr>
          <w:i/>
          <w:sz w:val="20"/>
          <w:szCs w:val="20"/>
        </w:rPr>
        <w:t>Chronique de jurisprudence en matière de contrats spéciaux</w:t>
      </w:r>
      <w:r w:rsidRPr="00CD7B80">
        <w:rPr>
          <w:sz w:val="20"/>
          <w:szCs w:val="20"/>
        </w:rPr>
        <w:t xml:space="preserve">, P. Wéry (coord.), Anthémis, C.U.P., vol. n°129, pp. 133-134. </w:t>
      </w:r>
    </w:p>
  </w:footnote>
  <w:footnote w:id="73">
    <w:p w14:paraId="68D4F61C" w14:textId="77777777"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 xml:space="preserve">Sur la question, voy. notamment J.-Fr. </w:t>
      </w:r>
      <w:r w:rsidRPr="00CD7B80">
        <w:rPr>
          <w:smallCaps/>
          <w:sz w:val="20"/>
          <w:szCs w:val="20"/>
          <w:lang w:val="nl-NL"/>
        </w:rPr>
        <w:t>Romain</w:t>
      </w:r>
      <w:r w:rsidRPr="00CD7B80">
        <w:rPr>
          <w:sz w:val="20"/>
          <w:szCs w:val="20"/>
          <w:lang w:val="nl-NL"/>
        </w:rPr>
        <w:t xml:space="preserve"> et al., </w:t>
      </w:r>
      <w:r w:rsidRPr="00CD7B80">
        <w:rPr>
          <w:i/>
          <w:sz w:val="20"/>
          <w:szCs w:val="20"/>
          <w:lang w:val="nl-NL"/>
        </w:rPr>
        <w:t>L’ordre public. Concept et applications</w:t>
      </w:r>
      <w:r w:rsidRPr="00CD7B80">
        <w:rPr>
          <w:sz w:val="20"/>
          <w:szCs w:val="20"/>
          <w:lang w:val="nl-NL"/>
        </w:rPr>
        <w:t xml:space="preserve">, Les conférences du Centre de Droit Privé et de Droit Économique, Volume 3. Collection de la Faculté de Droit de l’Université libre de Bruxelles, Bruxelles, Bruylant, 1995. </w:t>
      </w:r>
    </w:p>
  </w:footnote>
  <w:footnote w:id="74">
    <w:p w14:paraId="4CF287D5" w14:textId="267C84DD"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fr-BE"/>
        </w:rPr>
        <w:t xml:space="preserve">H. </w:t>
      </w:r>
      <w:r w:rsidRPr="00CD7B80">
        <w:rPr>
          <w:smallCaps/>
          <w:sz w:val="20"/>
          <w:szCs w:val="20"/>
          <w:lang w:val="fr-BE"/>
        </w:rPr>
        <w:t>De Page</w:t>
      </w:r>
      <w:r w:rsidRPr="00CD7B80">
        <w:rPr>
          <w:sz w:val="20"/>
          <w:szCs w:val="20"/>
          <w:lang w:val="fr-BE"/>
        </w:rPr>
        <w:t xml:space="preserve">, </w:t>
      </w:r>
      <w:r w:rsidRPr="00CD7B80">
        <w:rPr>
          <w:i/>
          <w:sz w:val="20"/>
          <w:szCs w:val="20"/>
          <w:lang w:val="fr-BE"/>
        </w:rPr>
        <w:t>Traité élémentaire de droit civil belge</w:t>
      </w:r>
      <w:r w:rsidRPr="00CD7B80">
        <w:rPr>
          <w:sz w:val="20"/>
          <w:szCs w:val="20"/>
          <w:lang w:val="fr-BE"/>
        </w:rPr>
        <w:t xml:space="preserve">, </w:t>
      </w:r>
      <w:r w:rsidRPr="00CD7B80">
        <w:rPr>
          <w:i/>
          <w:sz w:val="20"/>
          <w:szCs w:val="20"/>
          <w:lang w:val="nl-NL"/>
        </w:rPr>
        <w:t>op. cit.</w:t>
      </w:r>
      <w:r w:rsidRPr="00CD7B80">
        <w:rPr>
          <w:sz w:val="20"/>
          <w:szCs w:val="20"/>
          <w:lang w:val="fr-BE"/>
        </w:rPr>
        <w:t>, t. I, p. 111, n°91.</w:t>
      </w:r>
    </w:p>
  </w:footnote>
  <w:footnote w:id="75">
    <w:p w14:paraId="0F51D34B" w14:textId="77777777"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fr-BE"/>
        </w:rPr>
        <w:t xml:space="preserve">Cass., 9 décembre 1948, </w:t>
      </w:r>
      <w:r w:rsidRPr="00CD7B80">
        <w:rPr>
          <w:i/>
          <w:sz w:val="20"/>
          <w:szCs w:val="20"/>
          <w:lang w:val="fr-BE"/>
        </w:rPr>
        <w:t>Pas</w:t>
      </w:r>
      <w:r w:rsidRPr="00CD7B80">
        <w:rPr>
          <w:sz w:val="20"/>
          <w:szCs w:val="20"/>
          <w:lang w:val="fr-BE"/>
        </w:rPr>
        <w:t xml:space="preserve">., I, p. 699. </w:t>
      </w:r>
    </w:p>
  </w:footnote>
  <w:footnote w:id="76">
    <w:p w14:paraId="5123A0B6" w14:textId="4410162C"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Voy. notamment </w:t>
      </w:r>
      <w:r w:rsidRPr="00CD7B80">
        <w:rPr>
          <w:sz w:val="20"/>
          <w:szCs w:val="20"/>
          <w:lang w:val="fr-BE"/>
        </w:rPr>
        <w:t xml:space="preserve">Cass., 10 mars 1994, </w:t>
      </w:r>
      <w:r w:rsidRPr="00CD7B80">
        <w:rPr>
          <w:i/>
          <w:sz w:val="20"/>
          <w:szCs w:val="20"/>
          <w:lang w:val="fr-BE"/>
        </w:rPr>
        <w:t>Pas</w:t>
      </w:r>
      <w:r w:rsidRPr="00CD7B80">
        <w:rPr>
          <w:sz w:val="20"/>
          <w:szCs w:val="20"/>
          <w:lang w:val="fr-BE"/>
        </w:rPr>
        <w:t xml:space="preserve">., I, n°114 ; 13 décembre 2002, </w:t>
      </w:r>
      <w:r w:rsidRPr="00CD7B80">
        <w:rPr>
          <w:i/>
          <w:sz w:val="20"/>
          <w:szCs w:val="20"/>
          <w:lang w:val="fr-BE"/>
        </w:rPr>
        <w:t>Pas</w:t>
      </w:r>
      <w:r w:rsidRPr="00CD7B80">
        <w:rPr>
          <w:sz w:val="20"/>
          <w:szCs w:val="20"/>
          <w:lang w:val="fr-BE"/>
        </w:rPr>
        <w:t xml:space="preserve">., I, n° 671 ; Cass., 29 novembre 2007, </w:t>
      </w:r>
      <w:r w:rsidRPr="00CD7B80">
        <w:rPr>
          <w:i/>
          <w:sz w:val="20"/>
          <w:szCs w:val="20"/>
          <w:lang w:val="fr-BE"/>
        </w:rPr>
        <w:t>Pas</w:t>
      </w:r>
      <w:r w:rsidRPr="00CD7B80">
        <w:rPr>
          <w:sz w:val="20"/>
          <w:szCs w:val="20"/>
          <w:lang w:val="fr-BE"/>
        </w:rPr>
        <w:t xml:space="preserve">., I, liv. 11, n°2154 ; Cass., 29 avril 2011, </w:t>
      </w:r>
      <w:r w:rsidRPr="00CD7B80">
        <w:rPr>
          <w:i/>
          <w:sz w:val="20"/>
          <w:szCs w:val="20"/>
          <w:lang w:val="fr-BE"/>
        </w:rPr>
        <w:t>Pas</w:t>
      </w:r>
      <w:r w:rsidRPr="00CD7B80">
        <w:rPr>
          <w:sz w:val="20"/>
          <w:szCs w:val="20"/>
          <w:lang w:val="fr-BE"/>
        </w:rPr>
        <w:t xml:space="preserve">., I, n°1203 ; Cass., 10 septembre 2015, </w:t>
      </w:r>
      <w:r w:rsidRPr="00CD7B80">
        <w:rPr>
          <w:i/>
          <w:sz w:val="20"/>
          <w:szCs w:val="20"/>
          <w:lang w:val="fr-BE"/>
        </w:rPr>
        <w:t>T.B.O.</w:t>
      </w:r>
      <w:r w:rsidRPr="00CD7B80">
        <w:rPr>
          <w:sz w:val="20"/>
          <w:szCs w:val="20"/>
          <w:lang w:val="fr-BE"/>
        </w:rPr>
        <w:t xml:space="preserve">, 2016, liv. 2, p. 131 ; </w:t>
      </w:r>
    </w:p>
  </w:footnote>
  <w:footnote w:id="77">
    <w:p w14:paraId="5ED9565C" w14:textId="77777777" w:rsidR="002658C8" w:rsidRPr="00CD7B80" w:rsidRDefault="002658C8" w:rsidP="00CA177F">
      <w:pPr>
        <w:jc w:val="both"/>
        <w:rPr>
          <w:sz w:val="20"/>
          <w:szCs w:val="20"/>
          <w:lang w:val="fr-BE"/>
        </w:rPr>
      </w:pPr>
      <w:r w:rsidRPr="00CD7B80">
        <w:rPr>
          <w:rStyle w:val="Marquenotebasdepage"/>
          <w:sz w:val="20"/>
          <w:szCs w:val="20"/>
        </w:rPr>
        <w:footnoteRef/>
      </w:r>
      <w:r w:rsidRPr="00CD7B80">
        <w:rPr>
          <w:sz w:val="20"/>
          <w:szCs w:val="20"/>
        </w:rPr>
        <w:t xml:space="preserve"> </w:t>
      </w:r>
      <w:r w:rsidRPr="00CD7B80">
        <w:rPr>
          <w:sz w:val="20"/>
          <w:szCs w:val="20"/>
          <w:lang w:val="fr-BE"/>
        </w:rPr>
        <w:t xml:space="preserve">Sur la question, voy. </w:t>
      </w:r>
      <w:r w:rsidRPr="00CD7B80">
        <w:rPr>
          <w:sz w:val="20"/>
          <w:szCs w:val="20"/>
        </w:rPr>
        <w:t xml:space="preserve">J. </w:t>
      </w:r>
      <w:r w:rsidRPr="00CD7B80">
        <w:rPr>
          <w:smallCaps/>
          <w:sz w:val="20"/>
          <w:szCs w:val="20"/>
        </w:rPr>
        <w:t>Van Zuylen</w:t>
      </w:r>
      <w:r w:rsidRPr="00CD7B80">
        <w:rPr>
          <w:sz w:val="20"/>
          <w:szCs w:val="20"/>
        </w:rPr>
        <w:t xml:space="preserve">, « L’ordre public et le droit impératif dans les contrats spéciaux », </w:t>
      </w:r>
      <w:r w:rsidRPr="00CD7B80">
        <w:rPr>
          <w:i/>
          <w:sz w:val="20"/>
          <w:szCs w:val="20"/>
        </w:rPr>
        <w:t>op. cit.</w:t>
      </w:r>
      <w:r w:rsidRPr="00CD7B80">
        <w:rPr>
          <w:sz w:val="20"/>
          <w:szCs w:val="20"/>
        </w:rPr>
        <w:t>, p. 93.</w:t>
      </w:r>
    </w:p>
  </w:footnote>
  <w:footnote w:id="78">
    <w:p w14:paraId="52D2E502" w14:textId="1201DCD8"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fr-BE"/>
        </w:rPr>
        <w:t xml:space="preserve">H. </w:t>
      </w:r>
      <w:r w:rsidRPr="00CD7B80">
        <w:rPr>
          <w:smallCaps/>
          <w:sz w:val="20"/>
          <w:szCs w:val="20"/>
          <w:lang w:val="fr-BE"/>
        </w:rPr>
        <w:t>De Page</w:t>
      </w:r>
      <w:r w:rsidRPr="00CD7B80">
        <w:rPr>
          <w:sz w:val="20"/>
          <w:szCs w:val="20"/>
          <w:lang w:val="fr-BE"/>
        </w:rPr>
        <w:t xml:space="preserve">, </w:t>
      </w:r>
      <w:r w:rsidRPr="00CD7B80">
        <w:rPr>
          <w:i/>
          <w:sz w:val="20"/>
          <w:szCs w:val="20"/>
          <w:lang w:val="fr-BE"/>
        </w:rPr>
        <w:t>Traité élémentaire de droit civil belge</w:t>
      </w:r>
      <w:r w:rsidRPr="00CD7B80">
        <w:rPr>
          <w:sz w:val="20"/>
          <w:szCs w:val="20"/>
          <w:lang w:val="fr-BE"/>
        </w:rPr>
        <w:t xml:space="preserve">, </w:t>
      </w:r>
      <w:r w:rsidRPr="00CD7B80">
        <w:rPr>
          <w:i/>
          <w:sz w:val="20"/>
          <w:szCs w:val="20"/>
          <w:lang w:val="nl-NL"/>
        </w:rPr>
        <w:t>op. cit.</w:t>
      </w:r>
      <w:r w:rsidRPr="00CD7B80">
        <w:rPr>
          <w:sz w:val="20"/>
          <w:szCs w:val="20"/>
          <w:lang w:val="fr-BE"/>
        </w:rPr>
        <w:t>, t. I, p. 111, n°91.</w:t>
      </w:r>
    </w:p>
  </w:footnote>
  <w:footnote w:id="79">
    <w:p w14:paraId="7FA8528B" w14:textId="77777777" w:rsidR="002658C8" w:rsidRPr="00CD7B80" w:rsidRDefault="002658C8" w:rsidP="00CA177F">
      <w:pPr>
        <w:pStyle w:val="Notedebasdepage"/>
        <w:jc w:val="both"/>
        <w:rPr>
          <w:sz w:val="20"/>
          <w:szCs w:val="20"/>
          <w:lang w:val="fr-BE"/>
        </w:rPr>
      </w:pPr>
      <w:r w:rsidRPr="00CD7B80">
        <w:rPr>
          <w:rStyle w:val="Marquenotebasdepage"/>
          <w:sz w:val="20"/>
          <w:szCs w:val="20"/>
        </w:rPr>
        <w:footnoteRef/>
      </w:r>
      <w:r w:rsidRPr="00CD7B80">
        <w:rPr>
          <w:sz w:val="20"/>
          <w:szCs w:val="20"/>
        </w:rPr>
        <w:t xml:space="preserve"> P. </w:t>
      </w:r>
      <w:r w:rsidRPr="00CD7B80">
        <w:rPr>
          <w:smallCaps/>
          <w:sz w:val="20"/>
          <w:szCs w:val="20"/>
        </w:rPr>
        <w:t>Van Ommeslaghe</w:t>
      </w:r>
      <w:r w:rsidRPr="00CD7B80">
        <w:rPr>
          <w:sz w:val="20"/>
          <w:szCs w:val="20"/>
        </w:rPr>
        <w:t xml:space="preserve">, </w:t>
      </w:r>
      <w:r w:rsidRPr="00CD7B80">
        <w:rPr>
          <w:i/>
          <w:sz w:val="20"/>
          <w:szCs w:val="20"/>
        </w:rPr>
        <w:t>Traité de droit civil belge (De Page)</w:t>
      </w:r>
      <w:r w:rsidRPr="00CD7B80">
        <w:rPr>
          <w:sz w:val="20"/>
          <w:szCs w:val="20"/>
        </w:rPr>
        <w:t xml:space="preserve">, </w:t>
      </w:r>
      <w:r w:rsidRPr="00CD7B80">
        <w:rPr>
          <w:i/>
          <w:sz w:val="20"/>
          <w:szCs w:val="20"/>
          <w:lang w:val="nl-NL"/>
        </w:rPr>
        <w:t>op. cit.</w:t>
      </w:r>
      <w:r w:rsidRPr="00CD7B80">
        <w:rPr>
          <w:sz w:val="20"/>
          <w:szCs w:val="20"/>
        </w:rPr>
        <w:t>, vol. 1, p. 366.</w:t>
      </w:r>
    </w:p>
  </w:footnote>
  <w:footnote w:id="80">
    <w:p w14:paraId="77739002" w14:textId="77777777"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 xml:space="preserve">Conclusions du procureur général Terlinden avant Cass., 12 mai 1922, </w:t>
      </w:r>
      <w:r w:rsidRPr="00CD7B80">
        <w:rPr>
          <w:i/>
          <w:sz w:val="20"/>
          <w:szCs w:val="20"/>
          <w:lang w:val="nl-NL"/>
        </w:rPr>
        <w:t>Pas</w:t>
      </w:r>
      <w:r w:rsidRPr="00CD7B80">
        <w:rPr>
          <w:sz w:val="20"/>
          <w:szCs w:val="20"/>
          <w:lang w:val="nl-NL"/>
        </w:rPr>
        <w:t>., I, p. 296.</w:t>
      </w:r>
    </w:p>
  </w:footnote>
  <w:footnote w:id="81">
    <w:p w14:paraId="7134DD2F" w14:textId="3F85C352" w:rsidR="002658C8" w:rsidRPr="00CD7B80" w:rsidRDefault="002658C8" w:rsidP="00CA177F">
      <w:pPr>
        <w:pStyle w:val="Notedebasdepage"/>
        <w:jc w:val="both"/>
        <w:rPr>
          <w:sz w:val="20"/>
          <w:szCs w:val="20"/>
          <w:lang w:val="fr-BE"/>
        </w:rPr>
      </w:pPr>
      <w:r w:rsidRPr="00CD7B80">
        <w:rPr>
          <w:rStyle w:val="Marquenotebasdepage"/>
          <w:sz w:val="20"/>
          <w:szCs w:val="20"/>
        </w:rPr>
        <w:footnoteRef/>
      </w:r>
      <w:r w:rsidRPr="00CD7B80">
        <w:rPr>
          <w:sz w:val="20"/>
          <w:szCs w:val="20"/>
        </w:rPr>
        <w:t xml:space="preserve"> </w:t>
      </w:r>
      <w:r w:rsidRPr="00CD7B80">
        <w:rPr>
          <w:sz w:val="20"/>
          <w:szCs w:val="20"/>
          <w:lang w:val="fr-BE"/>
        </w:rPr>
        <w:t xml:space="preserve">H. </w:t>
      </w:r>
      <w:r w:rsidRPr="00CD7B80">
        <w:rPr>
          <w:smallCaps/>
          <w:sz w:val="20"/>
          <w:szCs w:val="20"/>
          <w:lang w:val="fr-BE"/>
        </w:rPr>
        <w:t>De Page</w:t>
      </w:r>
      <w:r w:rsidRPr="00CD7B80">
        <w:rPr>
          <w:sz w:val="20"/>
          <w:szCs w:val="20"/>
          <w:lang w:val="fr-BE"/>
        </w:rPr>
        <w:t xml:space="preserve">, </w:t>
      </w:r>
      <w:r w:rsidRPr="00CD7B80">
        <w:rPr>
          <w:i/>
          <w:sz w:val="20"/>
          <w:szCs w:val="20"/>
          <w:lang w:val="fr-BE"/>
        </w:rPr>
        <w:t>Traité élémentaire de droit civil</w:t>
      </w:r>
      <w:r w:rsidRPr="00CD7B80">
        <w:rPr>
          <w:sz w:val="20"/>
          <w:szCs w:val="20"/>
          <w:lang w:val="fr-BE"/>
        </w:rPr>
        <w:t xml:space="preserve">, </w:t>
      </w:r>
      <w:r w:rsidRPr="00CD7B80">
        <w:rPr>
          <w:i/>
          <w:sz w:val="20"/>
          <w:szCs w:val="20"/>
          <w:lang w:val="nl-NL"/>
        </w:rPr>
        <w:t xml:space="preserve">op. cit., </w:t>
      </w:r>
      <w:r w:rsidRPr="00CD7B80">
        <w:rPr>
          <w:sz w:val="20"/>
          <w:szCs w:val="20"/>
          <w:lang w:val="fr-BE"/>
        </w:rPr>
        <w:t xml:space="preserve">t. I, p. 118 ; P. </w:t>
      </w:r>
      <w:r w:rsidRPr="00CD7B80">
        <w:rPr>
          <w:smallCaps/>
          <w:sz w:val="20"/>
          <w:szCs w:val="20"/>
          <w:lang w:val="fr-BE"/>
        </w:rPr>
        <w:t>Wéry</w:t>
      </w:r>
      <w:r w:rsidRPr="00CD7B80">
        <w:rPr>
          <w:sz w:val="20"/>
          <w:szCs w:val="20"/>
          <w:lang w:val="fr-BE"/>
        </w:rPr>
        <w:t xml:space="preserve">, </w:t>
      </w:r>
      <w:r w:rsidRPr="00CD7B80">
        <w:rPr>
          <w:i/>
          <w:sz w:val="20"/>
          <w:szCs w:val="20"/>
          <w:lang w:val="fr-BE"/>
        </w:rPr>
        <w:t>Droit des obligations</w:t>
      </w:r>
      <w:r w:rsidRPr="00CD7B80">
        <w:rPr>
          <w:sz w:val="20"/>
          <w:szCs w:val="20"/>
          <w:lang w:val="fr-BE"/>
        </w:rPr>
        <w:t xml:space="preserve">, </w:t>
      </w:r>
      <w:r w:rsidRPr="00CD7B80">
        <w:rPr>
          <w:i/>
          <w:sz w:val="20"/>
          <w:szCs w:val="20"/>
          <w:lang w:val="nl-NL"/>
        </w:rPr>
        <w:t>op. cit.</w:t>
      </w:r>
      <w:r w:rsidRPr="00CD7B80">
        <w:rPr>
          <w:sz w:val="20"/>
          <w:szCs w:val="20"/>
          <w:lang w:val="fr-BE"/>
        </w:rPr>
        <w:t xml:space="preserve">, vol. 1, p. 300 ; </w:t>
      </w:r>
      <w:r w:rsidRPr="00CD7B80">
        <w:rPr>
          <w:sz w:val="20"/>
          <w:szCs w:val="20"/>
        </w:rPr>
        <w:t xml:space="preserve">P. </w:t>
      </w:r>
      <w:r w:rsidRPr="00CD7B80">
        <w:rPr>
          <w:smallCaps/>
          <w:sz w:val="20"/>
          <w:szCs w:val="20"/>
        </w:rPr>
        <w:t>Van Ommeslaghe</w:t>
      </w:r>
      <w:r w:rsidRPr="00CD7B80">
        <w:rPr>
          <w:sz w:val="20"/>
          <w:szCs w:val="20"/>
        </w:rPr>
        <w:t xml:space="preserve">, </w:t>
      </w:r>
      <w:r w:rsidRPr="00CD7B80">
        <w:rPr>
          <w:i/>
          <w:sz w:val="20"/>
          <w:szCs w:val="20"/>
        </w:rPr>
        <w:t>Traité de droit civil belge (De Page)</w:t>
      </w:r>
      <w:r w:rsidRPr="00CD7B80">
        <w:rPr>
          <w:sz w:val="20"/>
          <w:szCs w:val="20"/>
        </w:rPr>
        <w:t xml:space="preserve">, </w:t>
      </w:r>
      <w:r w:rsidRPr="00CD7B80">
        <w:rPr>
          <w:i/>
          <w:sz w:val="20"/>
          <w:szCs w:val="20"/>
          <w:lang w:val="nl-NL"/>
        </w:rPr>
        <w:t>op. cit.</w:t>
      </w:r>
      <w:r w:rsidRPr="00CD7B80">
        <w:rPr>
          <w:sz w:val="20"/>
          <w:szCs w:val="20"/>
        </w:rPr>
        <w:t>, vol. 1, pp. 365-366.</w:t>
      </w:r>
      <w:r w:rsidRPr="00CD7B80">
        <w:rPr>
          <w:sz w:val="20"/>
          <w:szCs w:val="20"/>
          <w:lang w:val="fr-BE"/>
        </w:rPr>
        <w:t xml:space="preserve"> </w:t>
      </w:r>
    </w:p>
  </w:footnote>
  <w:footnote w:id="82">
    <w:p w14:paraId="30DB7D6B" w14:textId="4BC38C2E" w:rsidR="002658C8" w:rsidRPr="00CD7B80" w:rsidRDefault="002658C8" w:rsidP="00CA177F">
      <w:pPr>
        <w:jc w:val="both"/>
        <w:rPr>
          <w:sz w:val="20"/>
          <w:szCs w:val="20"/>
          <w:lang w:val="fr-BE"/>
        </w:rPr>
      </w:pPr>
      <w:r w:rsidRPr="00CD7B80">
        <w:rPr>
          <w:rStyle w:val="Marquenotebasdepage"/>
          <w:sz w:val="20"/>
          <w:szCs w:val="20"/>
        </w:rPr>
        <w:footnoteRef/>
      </w:r>
      <w:r w:rsidRPr="00CD7B80">
        <w:rPr>
          <w:sz w:val="20"/>
          <w:szCs w:val="20"/>
        </w:rPr>
        <w:t xml:space="preserve"> </w:t>
      </w:r>
      <w:r w:rsidRPr="00CD7B80">
        <w:rPr>
          <w:sz w:val="20"/>
          <w:szCs w:val="20"/>
          <w:lang w:val="fr-BE"/>
        </w:rPr>
        <w:t>J.P. Ixelles (2</w:t>
      </w:r>
      <w:r w:rsidRPr="00CD7B80">
        <w:rPr>
          <w:sz w:val="20"/>
          <w:szCs w:val="20"/>
          <w:vertAlign w:val="superscript"/>
          <w:lang w:val="fr-BE"/>
        </w:rPr>
        <w:t>ème</w:t>
      </w:r>
      <w:r w:rsidRPr="00CD7B80">
        <w:rPr>
          <w:sz w:val="20"/>
          <w:szCs w:val="20"/>
          <w:lang w:val="fr-BE"/>
        </w:rPr>
        <w:t xml:space="preserve"> canton), 22 avril 1998, </w:t>
      </w:r>
      <w:r w:rsidRPr="00CD7B80">
        <w:rPr>
          <w:i/>
          <w:sz w:val="20"/>
          <w:szCs w:val="20"/>
          <w:lang w:val="fr-BE"/>
        </w:rPr>
        <w:t>Act. Jur. Baux</w:t>
      </w:r>
      <w:r w:rsidRPr="00CD7B80">
        <w:rPr>
          <w:sz w:val="20"/>
          <w:szCs w:val="20"/>
          <w:lang w:val="fr-BE"/>
        </w:rPr>
        <w:t xml:space="preserve">, 1999, p. 108. </w:t>
      </w:r>
      <w:r w:rsidRPr="00CD7B80">
        <w:rPr>
          <w:sz w:val="20"/>
          <w:szCs w:val="20"/>
        </w:rPr>
        <w:t xml:space="preserve">La Cour de cassation paraît plus prudente lorsqu’elle affirme que </w:t>
      </w:r>
      <w:r w:rsidRPr="00CD7B80">
        <w:rPr>
          <w:sz w:val="20"/>
          <w:szCs w:val="20"/>
          <w:lang w:val="fr-BE"/>
        </w:rPr>
        <w:t xml:space="preserve">« les dispositions du Code wallon de l'aménagement du territoire, de l'urbanisme et du patrimoine du 14 mai 1984 </w:t>
      </w:r>
      <w:r w:rsidRPr="00CD7B80">
        <w:rPr>
          <w:i/>
          <w:sz w:val="20"/>
          <w:szCs w:val="20"/>
          <w:lang w:val="fr-BE"/>
        </w:rPr>
        <w:t>dont l'arrêt fait application</w:t>
      </w:r>
      <w:r w:rsidRPr="00CD7B80">
        <w:rPr>
          <w:sz w:val="20"/>
          <w:szCs w:val="20"/>
          <w:lang w:val="fr-BE"/>
        </w:rPr>
        <w:t xml:space="preserve"> sont d'ordre public » (Cass., 19 septembre 2002, </w:t>
      </w:r>
      <w:r w:rsidRPr="00CD7B80">
        <w:rPr>
          <w:i/>
          <w:sz w:val="20"/>
          <w:szCs w:val="20"/>
          <w:lang w:val="fr-BE"/>
        </w:rPr>
        <w:t>Pas</w:t>
      </w:r>
      <w:r w:rsidRPr="00CD7B80">
        <w:rPr>
          <w:sz w:val="20"/>
          <w:szCs w:val="20"/>
          <w:lang w:val="fr-BE"/>
        </w:rPr>
        <w:t xml:space="preserve">., I, p. 1687, nous soulignons). P.-Y. Erneux, et M. von Kuegelgen estiment </w:t>
      </w:r>
      <w:r>
        <w:rPr>
          <w:sz w:val="20"/>
          <w:szCs w:val="20"/>
          <w:lang w:val="fr-BE"/>
        </w:rPr>
        <w:t>pour leur part</w:t>
      </w:r>
      <w:r w:rsidRPr="00CD7B80">
        <w:rPr>
          <w:sz w:val="20"/>
          <w:szCs w:val="20"/>
          <w:lang w:val="fr-BE"/>
        </w:rPr>
        <w:t xml:space="preserve"> que les obligations d’information issues du droit de l’urbanisme sont impératives et ne relèvent pas de l’ordre public (« La singularité de la vente immobilière à l'aune des contraintes issues du droit administratif ou vers un indispensable retour aux sources du droit des contrats », </w:t>
      </w:r>
      <w:r w:rsidRPr="00CD7B80">
        <w:rPr>
          <w:i/>
          <w:sz w:val="20"/>
          <w:szCs w:val="20"/>
          <w:lang w:val="fr-BE"/>
        </w:rPr>
        <w:t>Jurim Pratique</w:t>
      </w:r>
      <w:r w:rsidRPr="00CD7B80">
        <w:rPr>
          <w:sz w:val="20"/>
          <w:szCs w:val="20"/>
          <w:lang w:val="fr-BE"/>
        </w:rPr>
        <w:t>, 2014/2,  p. 213).</w:t>
      </w:r>
    </w:p>
  </w:footnote>
  <w:footnote w:id="83">
    <w:p w14:paraId="627853C3" w14:textId="504E2EDC"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 xml:space="preserve">Bruxelles, 23 novembre 2011, </w:t>
      </w:r>
      <w:r w:rsidRPr="00CD7B80">
        <w:rPr>
          <w:i/>
          <w:sz w:val="20"/>
          <w:szCs w:val="20"/>
          <w:lang w:val="nl-NL"/>
        </w:rPr>
        <w:t>T.B.P</w:t>
      </w:r>
      <w:r w:rsidRPr="00CD7B80">
        <w:rPr>
          <w:sz w:val="20"/>
          <w:szCs w:val="20"/>
          <w:lang w:val="nl-NL"/>
        </w:rPr>
        <w:t xml:space="preserve">., 2012, p. 563 et note F. </w:t>
      </w:r>
      <w:r w:rsidRPr="00CD7B80">
        <w:rPr>
          <w:smallCaps/>
          <w:sz w:val="20"/>
          <w:szCs w:val="20"/>
          <w:lang w:val="nl-NL"/>
        </w:rPr>
        <w:t>Vandendriessche</w:t>
      </w:r>
      <w:r w:rsidRPr="00CD7B80">
        <w:rPr>
          <w:sz w:val="20"/>
          <w:szCs w:val="20"/>
          <w:lang w:val="nl-NL"/>
        </w:rPr>
        <w:t xml:space="preserve"> et L. </w:t>
      </w:r>
      <w:r w:rsidRPr="00CD7B80">
        <w:rPr>
          <w:smallCaps/>
          <w:sz w:val="20"/>
          <w:szCs w:val="20"/>
          <w:lang w:val="nl-NL"/>
        </w:rPr>
        <w:t>Martens</w:t>
      </w:r>
      <w:r w:rsidRPr="00CD7B80">
        <w:rPr>
          <w:sz w:val="20"/>
          <w:szCs w:val="20"/>
          <w:lang w:val="nl-NL"/>
        </w:rPr>
        <w:t xml:space="preserve">. </w:t>
      </w:r>
      <w:r w:rsidRPr="00CD7B80">
        <w:rPr>
          <w:sz w:val="20"/>
          <w:szCs w:val="20"/>
        </w:rPr>
        <w:t xml:space="preserve">Voy. également les références citées dans </w:t>
      </w:r>
      <w:r w:rsidRPr="00CD7B80">
        <w:rPr>
          <w:rFonts w:eastAsia="Times New Roman"/>
          <w:sz w:val="20"/>
          <w:szCs w:val="20"/>
        </w:rPr>
        <w:t xml:space="preserve">K. </w:t>
      </w:r>
      <w:r w:rsidRPr="00CD7B80">
        <w:rPr>
          <w:rFonts w:eastAsia="Times New Roman"/>
          <w:smallCaps/>
          <w:sz w:val="20"/>
          <w:szCs w:val="20"/>
        </w:rPr>
        <w:t>Wauters</w:t>
      </w:r>
      <w:r w:rsidRPr="00CD7B80">
        <w:rPr>
          <w:rFonts w:eastAsia="Times New Roman"/>
          <w:sz w:val="20"/>
          <w:szCs w:val="20"/>
        </w:rPr>
        <w:t xml:space="preserve"> et Th. </w:t>
      </w:r>
      <w:r w:rsidRPr="00CD7B80">
        <w:rPr>
          <w:rFonts w:eastAsia="Times New Roman"/>
          <w:smallCaps/>
          <w:sz w:val="20"/>
          <w:szCs w:val="20"/>
        </w:rPr>
        <w:t>Cambier</w:t>
      </w:r>
      <w:r w:rsidRPr="00CD7B80">
        <w:rPr>
          <w:rFonts w:eastAsia="Times New Roman"/>
          <w:sz w:val="20"/>
          <w:szCs w:val="20"/>
        </w:rPr>
        <w:t xml:space="preserve">, « Illégalité de l’acte détachable : quels sont les effets une fois le contrat conclu ? », in </w:t>
      </w:r>
      <w:r w:rsidRPr="00CD7B80">
        <w:rPr>
          <w:rFonts w:eastAsia="Times New Roman"/>
          <w:i/>
          <w:sz w:val="20"/>
          <w:szCs w:val="20"/>
        </w:rPr>
        <w:t>Le temps et le droit Hommage au professeur Closset-Marchal</w:t>
      </w:r>
      <w:r w:rsidRPr="00CD7B80">
        <w:rPr>
          <w:rFonts w:eastAsia="Times New Roman"/>
          <w:sz w:val="20"/>
          <w:szCs w:val="20"/>
        </w:rPr>
        <w:t xml:space="preserve">, Bruxelles, Bruylant, 2013, pp. 619-620 ; </w:t>
      </w:r>
      <w:r w:rsidRPr="00CD7B80">
        <w:rPr>
          <w:sz w:val="20"/>
          <w:szCs w:val="20"/>
        </w:rPr>
        <w:t xml:space="preserve">M. </w:t>
      </w:r>
      <w:r w:rsidRPr="00CD7B80">
        <w:rPr>
          <w:smallCaps/>
          <w:sz w:val="20"/>
          <w:szCs w:val="20"/>
        </w:rPr>
        <w:t>Vanderstraeten</w:t>
      </w:r>
      <w:r w:rsidRPr="00CD7B80">
        <w:rPr>
          <w:sz w:val="20"/>
          <w:szCs w:val="20"/>
        </w:rPr>
        <w:t xml:space="preserve">, « Ordre et désordre publics : le sort du contrat conclu en violation des règles d’attribution des marchés publics », </w:t>
      </w:r>
      <w:r w:rsidRPr="00CD7B80">
        <w:rPr>
          <w:i/>
          <w:sz w:val="20"/>
          <w:szCs w:val="20"/>
        </w:rPr>
        <w:t>op. cit.</w:t>
      </w:r>
      <w:r w:rsidRPr="00CD7B80">
        <w:rPr>
          <w:sz w:val="20"/>
          <w:szCs w:val="20"/>
        </w:rPr>
        <w:t xml:space="preserve">, p. 936. Un arrêt du 29 juin 2012 pourrait suggérer que cette position est partagée par la Cour de cassation mais, par son caractère peu explicite, cette conclusion ne peut être émise qu’avec réserve (voy. Cass., 29 juin 2012, </w:t>
      </w:r>
      <w:r w:rsidRPr="00CD7B80">
        <w:rPr>
          <w:i/>
          <w:sz w:val="20"/>
          <w:szCs w:val="20"/>
        </w:rPr>
        <w:t>A.P.T</w:t>
      </w:r>
      <w:r w:rsidRPr="00CD7B80">
        <w:rPr>
          <w:sz w:val="20"/>
          <w:szCs w:val="20"/>
        </w:rPr>
        <w:t xml:space="preserve">., 2013, p. 120 et note B. </w:t>
      </w:r>
      <w:r w:rsidRPr="00CD7B80">
        <w:rPr>
          <w:smallCaps/>
          <w:sz w:val="20"/>
          <w:szCs w:val="20"/>
        </w:rPr>
        <w:t>Lombaert</w:t>
      </w:r>
      <w:r w:rsidRPr="00CD7B80">
        <w:rPr>
          <w:sz w:val="20"/>
          <w:szCs w:val="20"/>
        </w:rPr>
        <w:t>).</w:t>
      </w:r>
    </w:p>
  </w:footnote>
  <w:footnote w:id="84">
    <w:p w14:paraId="08C0A98E" w14:textId="0834A4BF" w:rsidR="002658C8" w:rsidRPr="00CD7B80" w:rsidRDefault="002658C8" w:rsidP="00CA177F">
      <w:pPr>
        <w:jc w:val="both"/>
        <w:rPr>
          <w:sz w:val="20"/>
          <w:szCs w:val="20"/>
        </w:rPr>
      </w:pPr>
      <w:r w:rsidRPr="00CD7B80">
        <w:rPr>
          <w:rStyle w:val="Marquenotebasdepage"/>
          <w:sz w:val="20"/>
          <w:szCs w:val="20"/>
        </w:rPr>
        <w:footnoteRef/>
      </w:r>
      <w:r w:rsidRPr="00CD7B80">
        <w:rPr>
          <w:sz w:val="20"/>
          <w:szCs w:val="20"/>
        </w:rPr>
        <w:t xml:space="preserve"> F. </w:t>
      </w:r>
      <w:r w:rsidRPr="00CD7B80">
        <w:rPr>
          <w:smallCaps/>
          <w:sz w:val="20"/>
          <w:szCs w:val="20"/>
        </w:rPr>
        <w:t>Belleflamme</w:t>
      </w:r>
      <w:r w:rsidRPr="00CD7B80">
        <w:rPr>
          <w:sz w:val="20"/>
          <w:szCs w:val="20"/>
        </w:rPr>
        <w:t xml:space="preserve">, « L’annulation de la décision d’attribution d’un contrat administratif et ses conséquences civiles », </w:t>
      </w:r>
      <w:r w:rsidRPr="00CD7B80">
        <w:rPr>
          <w:i/>
          <w:sz w:val="20"/>
          <w:szCs w:val="20"/>
        </w:rPr>
        <w:t>A.P.T.</w:t>
      </w:r>
      <w:r w:rsidRPr="00CD7B80">
        <w:rPr>
          <w:sz w:val="20"/>
          <w:szCs w:val="20"/>
        </w:rPr>
        <w:t xml:space="preserve">, 2011, p. 269, note 49 ; F. </w:t>
      </w:r>
      <w:r w:rsidRPr="00CD7B80">
        <w:rPr>
          <w:smallCaps/>
          <w:sz w:val="20"/>
          <w:szCs w:val="20"/>
        </w:rPr>
        <w:t>Vandendriessche</w:t>
      </w:r>
      <w:r w:rsidRPr="00CD7B80">
        <w:rPr>
          <w:sz w:val="20"/>
          <w:szCs w:val="20"/>
        </w:rPr>
        <w:t xml:space="preserve"> et L. </w:t>
      </w:r>
      <w:r w:rsidRPr="00CD7B80">
        <w:rPr>
          <w:smallCaps/>
          <w:sz w:val="20"/>
          <w:szCs w:val="20"/>
        </w:rPr>
        <w:t>Martens</w:t>
      </w:r>
      <w:r w:rsidRPr="00CD7B80">
        <w:rPr>
          <w:sz w:val="20"/>
          <w:szCs w:val="20"/>
        </w:rPr>
        <w:t xml:space="preserve">, « Kan iedere overeenkomst gesloten in strijd met de wetgeving overheidsopdrachten dan toch nietig worden verklaard ? », note sous Bruxelles, 23 novembre 2011, </w:t>
      </w:r>
      <w:r w:rsidRPr="00CD7B80">
        <w:rPr>
          <w:i/>
          <w:sz w:val="20"/>
          <w:szCs w:val="20"/>
        </w:rPr>
        <w:t>T.B.P</w:t>
      </w:r>
      <w:r w:rsidRPr="00CD7B80">
        <w:rPr>
          <w:sz w:val="20"/>
          <w:szCs w:val="20"/>
        </w:rPr>
        <w:t xml:space="preserve">., 2012, livr. 9, pp. 565-570 ; M. </w:t>
      </w:r>
      <w:r w:rsidRPr="00CD7B80">
        <w:rPr>
          <w:smallCaps/>
          <w:sz w:val="20"/>
          <w:szCs w:val="20"/>
        </w:rPr>
        <w:t>Vanderstraeten</w:t>
      </w:r>
      <w:r w:rsidRPr="00CD7B80">
        <w:rPr>
          <w:sz w:val="20"/>
          <w:szCs w:val="20"/>
        </w:rPr>
        <w:t xml:space="preserve">, « Ordre et désordre publics : le sort du contrat conclu en violation des règles d’attribution des marchés publics », </w:t>
      </w:r>
      <w:r w:rsidRPr="00CD7B80">
        <w:rPr>
          <w:i/>
          <w:sz w:val="20"/>
          <w:szCs w:val="20"/>
        </w:rPr>
        <w:t>op. cit</w:t>
      </w:r>
      <w:r w:rsidRPr="00CD7B80">
        <w:rPr>
          <w:sz w:val="20"/>
          <w:szCs w:val="20"/>
        </w:rPr>
        <w:t>., p. 936, note 2112 in fine ; voy. également les références citées par</w:t>
      </w:r>
      <w:r w:rsidRPr="00CD7B80">
        <w:rPr>
          <w:rFonts w:eastAsia="Times New Roman"/>
          <w:sz w:val="20"/>
          <w:szCs w:val="20"/>
        </w:rPr>
        <w:t xml:space="preserve"> </w:t>
      </w:r>
      <w:r w:rsidRPr="00CD7B80">
        <w:rPr>
          <w:sz w:val="20"/>
          <w:szCs w:val="20"/>
        </w:rPr>
        <w:t xml:space="preserve">B. </w:t>
      </w:r>
      <w:r w:rsidRPr="00CD7B80">
        <w:rPr>
          <w:smallCaps/>
          <w:sz w:val="20"/>
          <w:szCs w:val="20"/>
        </w:rPr>
        <w:t>Lombaert</w:t>
      </w:r>
      <w:r w:rsidRPr="00CD7B80">
        <w:rPr>
          <w:sz w:val="20"/>
          <w:szCs w:val="20"/>
        </w:rPr>
        <w:t xml:space="preserve">, « La réglementation des marchés publics : ‘loi d'ordre public’ en cassation ? », </w:t>
      </w:r>
      <w:r w:rsidRPr="00CD7B80">
        <w:rPr>
          <w:i/>
          <w:sz w:val="20"/>
          <w:szCs w:val="20"/>
        </w:rPr>
        <w:t>A.P.T</w:t>
      </w:r>
      <w:r w:rsidRPr="00CD7B80">
        <w:rPr>
          <w:sz w:val="20"/>
          <w:szCs w:val="20"/>
        </w:rPr>
        <w:t>., 2013/1, p. 124.</w:t>
      </w:r>
    </w:p>
  </w:footnote>
  <w:footnote w:id="85">
    <w:p w14:paraId="576A6343" w14:textId="2C617C2D"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Voy. notamment C.E., arrêt n°200.246 du 29 janvier 2010 et les arrêts cités par </w:t>
      </w:r>
      <w:r w:rsidRPr="00CD7B80">
        <w:rPr>
          <w:rFonts w:eastAsia="Times New Roman"/>
          <w:sz w:val="20"/>
          <w:szCs w:val="20"/>
        </w:rPr>
        <w:t xml:space="preserve">K. </w:t>
      </w:r>
      <w:r w:rsidRPr="00CD7B80">
        <w:rPr>
          <w:rFonts w:eastAsia="Times New Roman"/>
          <w:smallCaps/>
          <w:sz w:val="20"/>
          <w:szCs w:val="20"/>
        </w:rPr>
        <w:t>Wauters</w:t>
      </w:r>
      <w:r w:rsidRPr="00CD7B80">
        <w:rPr>
          <w:rFonts w:eastAsia="Times New Roman"/>
          <w:sz w:val="20"/>
          <w:szCs w:val="20"/>
        </w:rPr>
        <w:t xml:space="preserve"> et Th. </w:t>
      </w:r>
      <w:r w:rsidRPr="00CD7B80">
        <w:rPr>
          <w:rFonts w:eastAsia="Times New Roman"/>
          <w:smallCaps/>
          <w:sz w:val="20"/>
          <w:szCs w:val="20"/>
        </w:rPr>
        <w:t>Cambier</w:t>
      </w:r>
      <w:r w:rsidRPr="00CD7B80">
        <w:rPr>
          <w:rFonts w:eastAsia="Times New Roman"/>
          <w:sz w:val="20"/>
          <w:szCs w:val="20"/>
        </w:rPr>
        <w:t xml:space="preserve">, « Illégalité de l’acte détachable : quels sont les effets une fois le contrat conclu ? », </w:t>
      </w:r>
      <w:r>
        <w:rPr>
          <w:rFonts w:eastAsia="Times New Roman"/>
          <w:i/>
          <w:sz w:val="20"/>
          <w:szCs w:val="20"/>
        </w:rPr>
        <w:t>op. cit.</w:t>
      </w:r>
      <w:r w:rsidRPr="00CD7B80">
        <w:rPr>
          <w:rFonts w:eastAsia="Times New Roman"/>
          <w:sz w:val="20"/>
          <w:szCs w:val="20"/>
        </w:rPr>
        <w:t>, note 55. Selon ces auteurs, cependant, il n’est pas certain que la notion d’ordre public en droit administratif et en droit civil se recoupent totalement (</w:t>
      </w:r>
      <w:r w:rsidRPr="00CD7B80">
        <w:rPr>
          <w:rFonts w:eastAsia="Times New Roman"/>
          <w:i/>
          <w:sz w:val="20"/>
          <w:szCs w:val="20"/>
        </w:rPr>
        <w:t>Ibid</w:t>
      </w:r>
      <w:r w:rsidRPr="00CD7B80">
        <w:rPr>
          <w:rFonts w:eastAsia="Times New Roman"/>
          <w:sz w:val="20"/>
          <w:szCs w:val="20"/>
        </w:rPr>
        <w:t>., p. 619).</w:t>
      </w:r>
    </w:p>
  </w:footnote>
  <w:footnote w:id="86">
    <w:p w14:paraId="7EF83627" w14:textId="356BB1EB"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 xml:space="preserve">A titre d’exemple, l’article 3 de l’arrêté royal du 26 septembre 1996 établissant les règles générales d'exécution des marchés publics et des concessions de travaux publics </w:t>
      </w:r>
      <w:r>
        <w:rPr>
          <w:sz w:val="20"/>
          <w:szCs w:val="20"/>
          <w:lang w:val="nl-NL"/>
        </w:rPr>
        <w:t>(</w:t>
      </w:r>
      <w:r w:rsidRPr="00FE5B59">
        <w:rPr>
          <w:i/>
          <w:sz w:val="20"/>
          <w:szCs w:val="20"/>
          <w:lang w:val="nl-NL"/>
        </w:rPr>
        <w:t>M.B</w:t>
      </w:r>
      <w:r>
        <w:rPr>
          <w:sz w:val="20"/>
          <w:szCs w:val="20"/>
          <w:lang w:val="nl-NL"/>
        </w:rPr>
        <w:t xml:space="preserve">., 18 octobre </w:t>
      </w:r>
      <w:r w:rsidRPr="00FE5B59">
        <w:rPr>
          <w:sz w:val="20"/>
          <w:szCs w:val="20"/>
          <w:lang w:val="nl-NL"/>
        </w:rPr>
        <w:t>1996</w:t>
      </w:r>
      <w:r>
        <w:rPr>
          <w:sz w:val="20"/>
          <w:szCs w:val="20"/>
          <w:lang w:val="nl-NL"/>
        </w:rPr>
        <w:t>)</w:t>
      </w:r>
      <w:r w:rsidRPr="00FE5B59">
        <w:rPr>
          <w:sz w:val="20"/>
          <w:szCs w:val="20"/>
          <w:lang w:val="nl-NL"/>
        </w:rPr>
        <w:t xml:space="preserve"> </w:t>
      </w:r>
      <w:r w:rsidRPr="00CD7B80">
        <w:rPr>
          <w:sz w:val="20"/>
          <w:szCs w:val="20"/>
          <w:lang w:val="nl-NL"/>
        </w:rPr>
        <w:t>prévoyait une liste de dispositions auxquelles il pouvait être dérogé dans le cahier spécial des charges.</w:t>
      </w:r>
    </w:p>
  </w:footnote>
  <w:footnote w:id="87">
    <w:p w14:paraId="317484D6" w14:textId="17215698"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Voy. les références citées ci-après dans la contribution de N. Bernard et L. Debroux (</w:t>
      </w:r>
      <w:r>
        <w:rPr>
          <w:sz w:val="20"/>
          <w:szCs w:val="20"/>
        </w:rPr>
        <w:t>§14</w:t>
      </w:r>
      <w:r w:rsidRPr="00CD7B80">
        <w:rPr>
          <w:sz w:val="20"/>
          <w:szCs w:val="20"/>
        </w:rPr>
        <w:t>).</w:t>
      </w:r>
    </w:p>
  </w:footnote>
  <w:footnote w:id="88">
    <w:p w14:paraId="5E18E4C0" w14:textId="77777777" w:rsidR="002658C8" w:rsidRPr="00CD7B80" w:rsidRDefault="002658C8" w:rsidP="00CA177F">
      <w:pPr>
        <w:jc w:val="both"/>
        <w:rPr>
          <w:sz w:val="20"/>
          <w:szCs w:val="20"/>
          <w:lang w:val="fr-BE"/>
        </w:rPr>
      </w:pPr>
      <w:r w:rsidRPr="00CD7B80">
        <w:rPr>
          <w:rStyle w:val="Marquenotebasdepage"/>
          <w:sz w:val="20"/>
          <w:szCs w:val="20"/>
        </w:rPr>
        <w:footnoteRef/>
      </w:r>
      <w:r w:rsidRPr="00CD7B80">
        <w:rPr>
          <w:sz w:val="20"/>
          <w:szCs w:val="20"/>
        </w:rPr>
        <w:t xml:space="preserve"> </w:t>
      </w:r>
      <w:r w:rsidRPr="00CD7B80">
        <w:rPr>
          <w:sz w:val="20"/>
          <w:szCs w:val="20"/>
          <w:lang w:val="fr-BE"/>
        </w:rPr>
        <w:t xml:space="preserve">Cass., 10 mai 2012, </w:t>
      </w:r>
      <w:r w:rsidRPr="00CD7B80">
        <w:rPr>
          <w:i/>
          <w:sz w:val="20"/>
          <w:szCs w:val="20"/>
          <w:lang w:val="fr-BE"/>
        </w:rPr>
        <w:t>Pas</w:t>
      </w:r>
      <w:r w:rsidRPr="00CD7B80">
        <w:rPr>
          <w:sz w:val="20"/>
          <w:szCs w:val="20"/>
          <w:lang w:val="fr-BE"/>
        </w:rPr>
        <w:t>., I, p. 1059.</w:t>
      </w:r>
    </w:p>
  </w:footnote>
  <w:footnote w:id="89">
    <w:p w14:paraId="013DFFB7" w14:textId="5F735840"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En ce sens, voy. </w:t>
      </w:r>
      <w:r w:rsidRPr="00CD7B80">
        <w:rPr>
          <w:sz w:val="20"/>
          <w:szCs w:val="20"/>
          <w:lang w:val="nl-NL"/>
        </w:rPr>
        <w:t xml:space="preserve">M. </w:t>
      </w:r>
      <w:r w:rsidRPr="00CD7B80">
        <w:rPr>
          <w:smallCaps/>
          <w:sz w:val="20"/>
          <w:szCs w:val="20"/>
          <w:lang w:val="nl-NL"/>
        </w:rPr>
        <w:t>Dambre</w:t>
      </w:r>
      <w:r w:rsidRPr="00CD7B80">
        <w:rPr>
          <w:sz w:val="20"/>
          <w:szCs w:val="20"/>
          <w:lang w:val="nl-NL"/>
        </w:rPr>
        <w:t xml:space="preserve">, </w:t>
      </w:r>
      <w:r w:rsidRPr="00CD7B80">
        <w:rPr>
          <w:sz w:val="20"/>
          <w:szCs w:val="20"/>
        </w:rPr>
        <w:t>«</w:t>
      </w:r>
      <w:r w:rsidRPr="00CD7B80">
        <w:rPr>
          <w:sz w:val="20"/>
          <w:szCs w:val="20"/>
          <w:lang w:val="nl-NL"/>
        </w:rPr>
        <w:t xml:space="preserve"> Hoe nuttig is nietig? Bedenkingen bij de nietigverklaring van een huurcontract wegens een inbreuk op gewestelijke kwaliteitsnormen</w:t>
      </w:r>
      <w:r w:rsidRPr="00CD7B80">
        <w:rPr>
          <w:sz w:val="20"/>
          <w:szCs w:val="20"/>
        </w:rPr>
        <w:t xml:space="preserve"> »</w:t>
      </w:r>
      <w:r w:rsidRPr="00CD7B80">
        <w:rPr>
          <w:sz w:val="20"/>
          <w:szCs w:val="20"/>
          <w:lang w:val="nl-NL"/>
        </w:rPr>
        <w:t xml:space="preserve">, </w:t>
      </w:r>
      <w:r w:rsidRPr="00CD7B80">
        <w:rPr>
          <w:i/>
          <w:sz w:val="20"/>
          <w:szCs w:val="20"/>
          <w:lang w:val="nl-NL"/>
        </w:rPr>
        <w:t>op. cit.</w:t>
      </w:r>
      <w:r w:rsidRPr="00CD7B80">
        <w:rPr>
          <w:sz w:val="20"/>
          <w:szCs w:val="20"/>
          <w:lang w:val="nl-NL"/>
        </w:rPr>
        <w:t>, p. 119.</w:t>
      </w:r>
    </w:p>
  </w:footnote>
  <w:footnote w:id="90">
    <w:p w14:paraId="0DB3FC8B" w14:textId="1DD53E33"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fr-BE"/>
        </w:rPr>
        <w:t>Sur cette question, voy. la contribution de N. Bernard et L. Debroux</w:t>
      </w:r>
      <w:r>
        <w:rPr>
          <w:sz w:val="20"/>
          <w:szCs w:val="20"/>
          <w:lang w:val="fr-BE"/>
        </w:rPr>
        <w:t xml:space="preserve"> (§8). Voy. également ci-après, §27.</w:t>
      </w:r>
      <w:r w:rsidRPr="00CD7B80">
        <w:rPr>
          <w:sz w:val="20"/>
          <w:szCs w:val="20"/>
          <w:lang w:val="fr-BE"/>
        </w:rPr>
        <w:t xml:space="preserve"> </w:t>
      </w:r>
    </w:p>
  </w:footnote>
  <w:footnote w:id="91">
    <w:p w14:paraId="1E08454A" w14:textId="6C1675F5" w:rsidR="002658C8" w:rsidRPr="00CD7B80" w:rsidRDefault="002658C8" w:rsidP="00CA177F">
      <w:pPr>
        <w:jc w:val="both"/>
        <w:rPr>
          <w:sz w:val="20"/>
          <w:szCs w:val="20"/>
          <w:lang w:val="fr-BE"/>
        </w:rPr>
      </w:pPr>
      <w:r w:rsidRPr="00CD7B80">
        <w:rPr>
          <w:rStyle w:val="Marquenotebasdepage"/>
          <w:sz w:val="20"/>
          <w:szCs w:val="20"/>
        </w:rPr>
        <w:footnoteRef/>
      </w:r>
      <w:r w:rsidRPr="00CD7B80">
        <w:rPr>
          <w:sz w:val="20"/>
          <w:szCs w:val="20"/>
        </w:rPr>
        <w:t xml:space="preserve"> </w:t>
      </w:r>
      <w:r w:rsidRPr="00CD7B80">
        <w:rPr>
          <w:sz w:val="20"/>
          <w:szCs w:val="20"/>
          <w:lang w:val="fr-BE"/>
        </w:rPr>
        <w:t>J.P. Ixelles (2</w:t>
      </w:r>
      <w:r w:rsidRPr="00CD7B80">
        <w:rPr>
          <w:sz w:val="20"/>
          <w:szCs w:val="20"/>
          <w:vertAlign w:val="superscript"/>
          <w:lang w:val="fr-BE"/>
        </w:rPr>
        <w:t>ème</w:t>
      </w:r>
      <w:r w:rsidRPr="00CD7B80">
        <w:rPr>
          <w:sz w:val="20"/>
          <w:szCs w:val="20"/>
          <w:lang w:val="fr-BE"/>
        </w:rPr>
        <w:t xml:space="preserve"> canton), 22 avril 1998, </w:t>
      </w:r>
      <w:r w:rsidRPr="00CD7B80">
        <w:rPr>
          <w:i/>
          <w:sz w:val="20"/>
          <w:szCs w:val="20"/>
          <w:lang w:val="fr-BE"/>
        </w:rPr>
        <w:t>Act. Jur. Baux</w:t>
      </w:r>
      <w:r w:rsidRPr="00CD7B80">
        <w:rPr>
          <w:sz w:val="20"/>
          <w:szCs w:val="20"/>
          <w:lang w:val="fr-BE"/>
        </w:rPr>
        <w:t xml:space="preserve">, 1999, p. 108 ; </w:t>
      </w:r>
      <w:r w:rsidRPr="00CD7B80">
        <w:rPr>
          <w:sz w:val="20"/>
          <w:szCs w:val="20"/>
        </w:rPr>
        <w:t xml:space="preserve">civ. Bruxelles (16ème chambre), 30 juin 2011, </w:t>
      </w:r>
      <w:r w:rsidRPr="00CD7B80">
        <w:rPr>
          <w:i/>
          <w:sz w:val="20"/>
          <w:szCs w:val="20"/>
        </w:rPr>
        <w:t>J.L.M.B</w:t>
      </w:r>
      <w:r w:rsidRPr="00CD7B80">
        <w:rPr>
          <w:sz w:val="20"/>
          <w:szCs w:val="20"/>
        </w:rPr>
        <w:t>., 2012/40, p. 1892.</w:t>
      </w:r>
    </w:p>
  </w:footnote>
  <w:footnote w:id="92">
    <w:p w14:paraId="33926618" w14:textId="199EE306"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M. </w:t>
      </w:r>
      <w:r w:rsidRPr="00CD7B80">
        <w:rPr>
          <w:smallCaps/>
          <w:sz w:val="20"/>
          <w:szCs w:val="20"/>
        </w:rPr>
        <w:t>Delnoy</w:t>
      </w:r>
      <w:r w:rsidRPr="00CD7B80">
        <w:rPr>
          <w:sz w:val="20"/>
          <w:szCs w:val="20"/>
        </w:rPr>
        <w:t xml:space="preserve">, « Licéité des baux au regard de la police de l'aménagement du territoire et de l'urbanisme », </w:t>
      </w:r>
      <w:r w:rsidRPr="00CD7B80">
        <w:rPr>
          <w:i/>
          <w:sz w:val="20"/>
          <w:szCs w:val="20"/>
        </w:rPr>
        <w:t>Act. jur. baux</w:t>
      </w:r>
      <w:r w:rsidRPr="00CD7B80">
        <w:rPr>
          <w:sz w:val="20"/>
          <w:szCs w:val="20"/>
        </w:rPr>
        <w:t>, 1999, p. 98. Voy. également les références citées par</w:t>
      </w:r>
      <w:r w:rsidRPr="00CD7B80">
        <w:rPr>
          <w:sz w:val="20"/>
          <w:szCs w:val="20"/>
          <w:lang w:val="nl-NL"/>
        </w:rPr>
        <w:t xml:space="preserve"> N. </w:t>
      </w:r>
      <w:r w:rsidRPr="00CD7B80">
        <w:rPr>
          <w:smallCaps/>
          <w:sz w:val="20"/>
          <w:szCs w:val="20"/>
          <w:lang w:val="nl-NL"/>
        </w:rPr>
        <w:t>Bernard</w:t>
      </w:r>
      <w:r w:rsidRPr="00CD7B80">
        <w:rPr>
          <w:sz w:val="20"/>
          <w:szCs w:val="20"/>
          <w:lang w:val="nl-NL"/>
        </w:rPr>
        <w:t xml:space="preserve">, </w:t>
      </w:r>
      <w:r w:rsidRPr="00CD7B80">
        <w:rPr>
          <w:sz w:val="20"/>
          <w:szCs w:val="20"/>
        </w:rPr>
        <w:t xml:space="preserve">« </w:t>
      </w:r>
      <w:r w:rsidRPr="00CD7B80">
        <w:rPr>
          <w:sz w:val="20"/>
          <w:szCs w:val="20"/>
          <w:lang w:val="nl-NL"/>
        </w:rPr>
        <w:t xml:space="preserve">La validité du contrat de bail portant sur un bien dépourvu de certificat de performance énergétique? Une comparaison avec les règles de salubrité </w:t>
      </w:r>
      <w:r w:rsidRPr="00CD7B80">
        <w:rPr>
          <w:sz w:val="20"/>
          <w:szCs w:val="20"/>
        </w:rPr>
        <w:t xml:space="preserve">», </w:t>
      </w:r>
      <w:r w:rsidRPr="00CD7B80">
        <w:rPr>
          <w:i/>
          <w:sz w:val="20"/>
          <w:szCs w:val="20"/>
        </w:rPr>
        <w:t>R.G.D.C</w:t>
      </w:r>
      <w:r w:rsidRPr="00CD7B80">
        <w:rPr>
          <w:sz w:val="20"/>
          <w:szCs w:val="20"/>
        </w:rPr>
        <w:t>., 2012, p. 364.</w:t>
      </w:r>
    </w:p>
  </w:footnote>
  <w:footnote w:id="93">
    <w:p w14:paraId="750B4ED4" w14:textId="46D2375B" w:rsidR="002658C8" w:rsidRPr="00CD7B80" w:rsidRDefault="002658C8" w:rsidP="00CA177F">
      <w:pPr>
        <w:jc w:val="both"/>
        <w:rPr>
          <w:sz w:val="20"/>
          <w:szCs w:val="20"/>
          <w:lang w:val="fr-BE"/>
        </w:rPr>
      </w:pPr>
      <w:r w:rsidRPr="00CD7B80">
        <w:rPr>
          <w:rStyle w:val="Marquenotebasdepage"/>
          <w:sz w:val="20"/>
          <w:szCs w:val="20"/>
        </w:rPr>
        <w:footnoteRef/>
      </w:r>
      <w:r w:rsidRPr="00CD7B80">
        <w:rPr>
          <w:sz w:val="20"/>
          <w:szCs w:val="20"/>
        </w:rPr>
        <w:t xml:space="preserve"> </w:t>
      </w:r>
      <w:r w:rsidRPr="00CD7B80">
        <w:rPr>
          <w:sz w:val="20"/>
          <w:szCs w:val="20"/>
          <w:lang w:val="fr-BE"/>
        </w:rPr>
        <w:t xml:space="preserve">H. </w:t>
      </w:r>
      <w:r w:rsidRPr="00CD7B80">
        <w:rPr>
          <w:smallCaps/>
          <w:sz w:val="20"/>
          <w:szCs w:val="20"/>
          <w:lang w:val="fr-BE"/>
        </w:rPr>
        <w:t>De</w:t>
      </w:r>
      <w:r w:rsidRPr="00CD7B80">
        <w:rPr>
          <w:sz w:val="20"/>
          <w:szCs w:val="20"/>
          <w:lang w:val="fr-BE"/>
        </w:rPr>
        <w:t xml:space="preserve"> </w:t>
      </w:r>
      <w:r w:rsidRPr="00CD7B80">
        <w:rPr>
          <w:smallCaps/>
          <w:sz w:val="20"/>
          <w:szCs w:val="20"/>
          <w:lang w:val="fr-BE"/>
        </w:rPr>
        <w:t>Page</w:t>
      </w:r>
      <w:r w:rsidRPr="00CD7B80">
        <w:rPr>
          <w:sz w:val="20"/>
          <w:szCs w:val="20"/>
          <w:lang w:val="fr-BE"/>
        </w:rPr>
        <w:t xml:space="preserve">, </w:t>
      </w:r>
      <w:r w:rsidRPr="00CD7B80">
        <w:rPr>
          <w:i/>
          <w:sz w:val="20"/>
          <w:szCs w:val="20"/>
          <w:lang w:val="fr-BE"/>
        </w:rPr>
        <w:t>Traité élémentaire de droit civil belge</w:t>
      </w:r>
      <w:r w:rsidRPr="00CD7B80">
        <w:rPr>
          <w:sz w:val="20"/>
          <w:szCs w:val="20"/>
          <w:lang w:val="fr-BE"/>
        </w:rPr>
        <w:t xml:space="preserve">, </w:t>
      </w:r>
      <w:r w:rsidRPr="00CD7B80">
        <w:rPr>
          <w:i/>
          <w:sz w:val="20"/>
          <w:szCs w:val="20"/>
          <w:lang w:val="nl-NL"/>
        </w:rPr>
        <w:t>op. cit.</w:t>
      </w:r>
      <w:r w:rsidRPr="00CD7B80">
        <w:rPr>
          <w:sz w:val="20"/>
          <w:szCs w:val="20"/>
          <w:lang w:val="fr-BE"/>
        </w:rPr>
        <w:t>, t. II, pp. 749-750, n°780 et les exemples cités (la loi pénale poursuit l’usurier et pas l’usure, le délit habituel n</w:t>
      </w:r>
      <w:r>
        <w:rPr>
          <w:sz w:val="20"/>
          <w:szCs w:val="20"/>
          <w:lang w:val="fr-BE"/>
        </w:rPr>
        <w:t>’entraîne pas</w:t>
      </w:r>
      <w:r w:rsidRPr="00CD7B80">
        <w:rPr>
          <w:sz w:val="20"/>
          <w:szCs w:val="20"/>
          <w:lang w:val="fr-BE"/>
        </w:rPr>
        <w:t xml:space="preserve"> l’illicéité d’un fait isolé, etc.). </w:t>
      </w:r>
    </w:p>
  </w:footnote>
  <w:footnote w:id="94">
    <w:p w14:paraId="4DDC1453" w14:textId="7F780A22"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Voy. notamment P. </w:t>
      </w:r>
      <w:r w:rsidRPr="00CD7B80">
        <w:rPr>
          <w:smallCaps/>
          <w:sz w:val="20"/>
          <w:szCs w:val="20"/>
        </w:rPr>
        <w:t>Van Ommeslaghe</w:t>
      </w:r>
      <w:r w:rsidRPr="00CD7B80">
        <w:rPr>
          <w:sz w:val="20"/>
          <w:szCs w:val="20"/>
        </w:rPr>
        <w:t xml:space="preserve">, </w:t>
      </w:r>
      <w:r w:rsidRPr="00CD7B80">
        <w:rPr>
          <w:i/>
          <w:sz w:val="20"/>
          <w:szCs w:val="20"/>
        </w:rPr>
        <w:t>Traité de droit civil belge (De Page)</w:t>
      </w:r>
      <w:r w:rsidRPr="00CD7B80">
        <w:rPr>
          <w:sz w:val="20"/>
          <w:szCs w:val="20"/>
        </w:rPr>
        <w:t xml:space="preserve">, </w:t>
      </w:r>
      <w:r w:rsidRPr="00CD7B80">
        <w:rPr>
          <w:i/>
          <w:sz w:val="20"/>
          <w:szCs w:val="20"/>
          <w:lang w:val="nl-NL"/>
        </w:rPr>
        <w:t>op. cit.</w:t>
      </w:r>
      <w:r w:rsidRPr="00CD7B80">
        <w:rPr>
          <w:sz w:val="20"/>
          <w:szCs w:val="20"/>
        </w:rPr>
        <w:t xml:space="preserve">, vol. 3, p. 968 et les exemples cités en matière de droit du travail ; J. </w:t>
      </w:r>
      <w:r w:rsidRPr="00CD7B80">
        <w:rPr>
          <w:smallCaps/>
          <w:sz w:val="20"/>
          <w:szCs w:val="20"/>
        </w:rPr>
        <w:t>Van Zuylen</w:t>
      </w:r>
      <w:r w:rsidRPr="00CD7B80">
        <w:rPr>
          <w:sz w:val="20"/>
          <w:szCs w:val="20"/>
        </w:rPr>
        <w:t xml:space="preserve">, « L’ordre public et le droit impératif dans les contrats spéciaux », </w:t>
      </w:r>
      <w:r w:rsidRPr="00CD7B80">
        <w:rPr>
          <w:i/>
          <w:sz w:val="20"/>
          <w:szCs w:val="20"/>
          <w:lang w:val="nl-NL"/>
        </w:rPr>
        <w:t>op. cit.</w:t>
      </w:r>
      <w:r w:rsidRPr="00CD7B80">
        <w:rPr>
          <w:sz w:val="20"/>
          <w:szCs w:val="20"/>
        </w:rPr>
        <w:t>, pp. 101 et 108 et les références citées</w:t>
      </w:r>
      <w:r w:rsidRPr="00CD7B80">
        <w:rPr>
          <w:sz w:val="20"/>
          <w:szCs w:val="20"/>
          <w:lang w:val="nl-NL"/>
        </w:rPr>
        <w:t>.</w:t>
      </w:r>
    </w:p>
  </w:footnote>
  <w:footnote w:id="95">
    <w:p w14:paraId="27639EDA" w14:textId="4324679E"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Cass., 22 janvier 2016, RG n°14.0410.F/3, www.juridat.be.</w:t>
      </w:r>
    </w:p>
  </w:footnote>
  <w:footnote w:id="96">
    <w:p w14:paraId="0F0490FE" w14:textId="77777777"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fr-BE"/>
        </w:rPr>
        <w:t xml:space="preserve">Cass., 6 septembre 2006, </w:t>
      </w:r>
      <w:r w:rsidRPr="00CD7B80">
        <w:rPr>
          <w:i/>
          <w:sz w:val="20"/>
          <w:szCs w:val="20"/>
          <w:lang w:val="fr-BE"/>
        </w:rPr>
        <w:t>Pas</w:t>
      </w:r>
      <w:r w:rsidRPr="00CD7B80">
        <w:rPr>
          <w:sz w:val="20"/>
          <w:szCs w:val="20"/>
          <w:lang w:val="fr-BE"/>
        </w:rPr>
        <w:t xml:space="preserve">., I, n°1639. </w:t>
      </w:r>
    </w:p>
  </w:footnote>
  <w:footnote w:id="97">
    <w:p w14:paraId="3D3B15C6" w14:textId="77777777" w:rsidR="002658C8" w:rsidRPr="00CD7B80" w:rsidRDefault="002658C8" w:rsidP="00CA177F">
      <w:pPr>
        <w:jc w:val="both"/>
        <w:rPr>
          <w:sz w:val="20"/>
          <w:szCs w:val="20"/>
          <w:lang w:val="fr-BE"/>
        </w:rPr>
      </w:pPr>
      <w:r w:rsidRPr="00CD7B80">
        <w:rPr>
          <w:rStyle w:val="Marquenotebasdepage"/>
          <w:sz w:val="20"/>
          <w:szCs w:val="20"/>
        </w:rPr>
        <w:footnoteRef/>
      </w:r>
      <w:r w:rsidRPr="00CD7B80">
        <w:rPr>
          <w:sz w:val="20"/>
          <w:szCs w:val="20"/>
        </w:rPr>
        <w:t xml:space="preserve"> En ce sens, voy. </w:t>
      </w:r>
      <w:r w:rsidRPr="00CD7B80">
        <w:rPr>
          <w:sz w:val="20"/>
          <w:szCs w:val="20"/>
          <w:lang w:val="fr-BE"/>
        </w:rPr>
        <w:t xml:space="preserve">I. </w:t>
      </w:r>
      <w:r w:rsidRPr="00CD7B80">
        <w:rPr>
          <w:smallCaps/>
          <w:sz w:val="20"/>
          <w:szCs w:val="20"/>
          <w:lang w:val="fr-BE"/>
        </w:rPr>
        <w:t>Claeys</w:t>
      </w:r>
      <w:r w:rsidRPr="00CD7B80">
        <w:rPr>
          <w:sz w:val="20"/>
          <w:szCs w:val="20"/>
          <w:lang w:val="fr-BE"/>
        </w:rPr>
        <w:t xml:space="preserve">, « Nietigheid van contractuele verbintenissen in beweging », in </w:t>
      </w:r>
      <w:r w:rsidRPr="00CD7B80">
        <w:rPr>
          <w:i/>
          <w:sz w:val="20"/>
          <w:szCs w:val="20"/>
          <w:lang w:val="fr-BE"/>
        </w:rPr>
        <w:t>Sancties en nietigheden</w:t>
      </w:r>
      <w:r w:rsidRPr="00CD7B80">
        <w:rPr>
          <w:sz w:val="20"/>
          <w:szCs w:val="20"/>
          <w:lang w:val="fr-BE"/>
        </w:rPr>
        <w:t>, Bruxelles, Larcier, 2003, p. 293, n°35 : « Er is immers een onderscheid tussen de strafwet zelf die van openbare orde is, en de strafrechtelijk gesanctioneerde rechtsregel die van louter dwingend recht kan zijn ».</w:t>
      </w:r>
    </w:p>
  </w:footnote>
  <w:footnote w:id="98">
    <w:p w14:paraId="5F6FCBA4" w14:textId="4ACFAC5E"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J.-Fr. </w:t>
      </w:r>
      <w:r w:rsidRPr="00CD7B80">
        <w:rPr>
          <w:smallCaps/>
          <w:sz w:val="20"/>
          <w:szCs w:val="20"/>
        </w:rPr>
        <w:t>Romain</w:t>
      </w:r>
      <w:r w:rsidRPr="00CD7B80">
        <w:rPr>
          <w:sz w:val="20"/>
          <w:szCs w:val="20"/>
        </w:rPr>
        <w:t xml:space="preserve">, « Le principe Accessorium sequitur principale, les accessoires juridiques immobiliers sous la forme de certificats 1 et le droit de la vente (obligation de délivrance documentaire) », </w:t>
      </w:r>
      <w:r w:rsidRPr="00CD7B80">
        <w:rPr>
          <w:i/>
          <w:sz w:val="20"/>
          <w:szCs w:val="20"/>
        </w:rPr>
        <w:t>op. cit.</w:t>
      </w:r>
      <w:r w:rsidRPr="00CD7B80">
        <w:rPr>
          <w:sz w:val="20"/>
          <w:szCs w:val="20"/>
        </w:rPr>
        <w:t>, p. 36.</w:t>
      </w:r>
    </w:p>
  </w:footnote>
  <w:footnote w:id="99">
    <w:p w14:paraId="6511F347" w14:textId="44772913" w:rsidR="002658C8" w:rsidRPr="00CD7B80" w:rsidRDefault="002658C8" w:rsidP="00CA177F">
      <w:pPr>
        <w:pStyle w:val="Notedebasdepage"/>
        <w:jc w:val="both"/>
        <w:rPr>
          <w:sz w:val="20"/>
          <w:szCs w:val="20"/>
        </w:rPr>
      </w:pPr>
      <w:r w:rsidRPr="00CD7B80">
        <w:rPr>
          <w:rStyle w:val="Marquenotebasdepage"/>
          <w:sz w:val="20"/>
          <w:szCs w:val="20"/>
        </w:rPr>
        <w:footnoteRef/>
      </w:r>
      <w:r w:rsidRPr="00CD7B80">
        <w:rPr>
          <w:sz w:val="20"/>
          <w:szCs w:val="20"/>
        </w:rPr>
        <w:t xml:space="preserve"> Cass. (1</w:t>
      </w:r>
      <w:r w:rsidRPr="00CD7B80">
        <w:rPr>
          <w:sz w:val="20"/>
          <w:szCs w:val="20"/>
          <w:vertAlign w:val="superscript"/>
        </w:rPr>
        <w:t>re</w:t>
      </w:r>
      <w:r w:rsidRPr="00CD7B80">
        <w:rPr>
          <w:sz w:val="20"/>
          <w:szCs w:val="20"/>
        </w:rPr>
        <w:t xml:space="preserve"> ch.), 13 janvier 2011, </w:t>
      </w:r>
      <w:r w:rsidRPr="00CD7B80">
        <w:rPr>
          <w:i/>
          <w:sz w:val="20"/>
          <w:szCs w:val="20"/>
        </w:rPr>
        <w:t>Pas.</w:t>
      </w:r>
      <w:r>
        <w:rPr>
          <w:sz w:val="20"/>
          <w:szCs w:val="20"/>
        </w:rPr>
        <w:t>, 2011, p. 140, n° 31.</w:t>
      </w:r>
    </w:p>
  </w:footnote>
  <w:footnote w:id="100">
    <w:p w14:paraId="1B9C2F64" w14:textId="3B340EEA"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Dans le même sens, voy. J.-Fr. </w:t>
      </w:r>
      <w:r w:rsidRPr="00CD7B80">
        <w:rPr>
          <w:smallCaps/>
          <w:sz w:val="20"/>
          <w:szCs w:val="20"/>
        </w:rPr>
        <w:t>Romain</w:t>
      </w:r>
      <w:r w:rsidRPr="00CD7B80">
        <w:rPr>
          <w:sz w:val="20"/>
          <w:szCs w:val="20"/>
        </w:rPr>
        <w:t xml:space="preserve">, « Le principe Accessorium sequitur principale, les accessoires juridiques immobiliers sous la forme de certificats 1 et le droit de la vente (obligation de délivrance documentaire) », </w:t>
      </w:r>
      <w:r>
        <w:rPr>
          <w:i/>
          <w:sz w:val="20"/>
          <w:szCs w:val="20"/>
        </w:rPr>
        <w:t>op. cit.</w:t>
      </w:r>
      <w:r w:rsidRPr="00CD7B80">
        <w:rPr>
          <w:sz w:val="20"/>
          <w:szCs w:val="20"/>
        </w:rPr>
        <w:t>, pp. 40-41 : « Il y aura lieu d’analyser chaque espèce, chaque contexte, pour dégager une sanction pro</w:t>
      </w:r>
      <w:r>
        <w:rPr>
          <w:sz w:val="20"/>
          <w:szCs w:val="20"/>
        </w:rPr>
        <w:t>portionnée à la situation</w:t>
      </w:r>
      <w:r w:rsidRPr="00CD7B80">
        <w:rPr>
          <w:sz w:val="20"/>
          <w:szCs w:val="20"/>
        </w:rPr>
        <w:t xml:space="preserve"> ».</w:t>
      </w:r>
    </w:p>
  </w:footnote>
  <w:footnote w:id="101">
    <w:p w14:paraId="2BCB758D" w14:textId="77777777"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fr-BE"/>
        </w:rPr>
        <w:t>Civ. Bruxelles (75</w:t>
      </w:r>
      <w:r w:rsidRPr="00CD7B80">
        <w:rPr>
          <w:sz w:val="20"/>
          <w:szCs w:val="20"/>
          <w:vertAlign w:val="superscript"/>
          <w:lang w:val="fr-BE"/>
        </w:rPr>
        <w:t>ème</w:t>
      </w:r>
      <w:r w:rsidRPr="00CD7B80">
        <w:rPr>
          <w:sz w:val="20"/>
          <w:szCs w:val="20"/>
          <w:lang w:val="fr-BE"/>
        </w:rPr>
        <w:t xml:space="preserve"> ch.), 23 décembre 2014, RG 2012/4812/A (inédit).</w:t>
      </w:r>
    </w:p>
  </w:footnote>
  <w:footnote w:id="102">
    <w:p w14:paraId="0B7B287E" w14:textId="37DF1C9E"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Ces mécanismes sont expliqués plus en détail dans la contribut</w:t>
      </w:r>
      <w:r>
        <w:rPr>
          <w:sz w:val="20"/>
          <w:szCs w:val="20"/>
          <w:lang w:val="nl-NL"/>
        </w:rPr>
        <w:t xml:space="preserve">ion de N. Bernard et L. Debroux (§8). </w:t>
      </w:r>
    </w:p>
  </w:footnote>
  <w:footnote w:id="103">
    <w:p w14:paraId="6FBF6059" w14:textId="762338BB"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Dans un sens comparable mais en matière de disposition impérative, la Cour de cassation a considéré que le non-respect</w:t>
      </w:r>
      <w:r w:rsidRPr="00CD7B80">
        <w:rPr>
          <w:sz w:val="20"/>
          <w:szCs w:val="20"/>
          <w:lang w:val="fr-BE"/>
        </w:rPr>
        <w:t xml:space="preserve"> de certaines formalités prévues par la loi du 16 février 1994 régissant le contrat d'organisation de voyages et le contrat d'intermédiaire de voyages « </w:t>
      </w:r>
      <w:r w:rsidRPr="00CD7B80">
        <w:rPr>
          <w:i/>
          <w:sz w:val="20"/>
          <w:szCs w:val="20"/>
          <w:lang w:val="fr-BE"/>
        </w:rPr>
        <w:t>peut</w:t>
      </w:r>
      <w:r w:rsidRPr="00CD7B80">
        <w:rPr>
          <w:sz w:val="20"/>
          <w:szCs w:val="20"/>
          <w:lang w:val="fr-BE"/>
        </w:rPr>
        <w:t xml:space="preserve"> entraîner une nullité relative que le juge </w:t>
      </w:r>
      <w:r w:rsidRPr="00CD7B80">
        <w:rPr>
          <w:i/>
          <w:sz w:val="20"/>
          <w:szCs w:val="20"/>
          <w:lang w:val="fr-BE"/>
        </w:rPr>
        <w:t>apprécie</w:t>
      </w:r>
      <w:r w:rsidRPr="00CD7B80">
        <w:rPr>
          <w:sz w:val="20"/>
          <w:szCs w:val="20"/>
          <w:lang w:val="fr-BE"/>
        </w:rPr>
        <w:t xml:space="preserve"> selon la </w:t>
      </w:r>
      <w:r w:rsidRPr="00CD7B80">
        <w:rPr>
          <w:i/>
          <w:sz w:val="20"/>
          <w:szCs w:val="20"/>
          <w:lang w:val="fr-BE"/>
        </w:rPr>
        <w:t>gravité de l'atteinte </w:t>
      </w:r>
      <w:r w:rsidRPr="00CD7B80">
        <w:rPr>
          <w:sz w:val="20"/>
          <w:szCs w:val="20"/>
          <w:lang w:val="fr-BE"/>
        </w:rPr>
        <w:t>» portée aux intérêts du voyageur (</w:t>
      </w:r>
      <w:r w:rsidRPr="00CD7B80">
        <w:rPr>
          <w:sz w:val="20"/>
          <w:szCs w:val="20"/>
          <w:lang w:val="nl-NL"/>
        </w:rPr>
        <w:t xml:space="preserve">Cass., 26 mai 2006, </w:t>
      </w:r>
      <w:r w:rsidRPr="00CD7B80">
        <w:rPr>
          <w:i/>
          <w:sz w:val="20"/>
          <w:szCs w:val="20"/>
          <w:lang w:val="nl-NL"/>
        </w:rPr>
        <w:t>R.G.D.C</w:t>
      </w:r>
      <w:r w:rsidRPr="00CD7B80">
        <w:rPr>
          <w:sz w:val="20"/>
          <w:szCs w:val="20"/>
          <w:lang w:val="nl-NL"/>
        </w:rPr>
        <w:t>., 2007, p. 479 (nous soulignons)).</w:t>
      </w:r>
    </w:p>
  </w:footnote>
  <w:footnote w:id="104">
    <w:p w14:paraId="604093FC" w14:textId="77777777" w:rsidR="002658C8" w:rsidRPr="00CD7B80" w:rsidRDefault="002658C8" w:rsidP="00CA177F">
      <w:pPr>
        <w:pStyle w:val="Notedebasdepage"/>
        <w:jc w:val="both"/>
        <w:rPr>
          <w:sz w:val="20"/>
          <w:szCs w:val="20"/>
          <w:lang w:val="fr-BE"/>
        </w:rPr>
      </w:pPr>
      <w:r w:rsidRPr="00CD7B80">
        <w:rPr>
          <w:rStyle w:val="Marquenotebasdepage"/>
          <w:sz w:val="20"/>
          <w:szCs w:val="20"/>
        </w:rPr>
        <w:footnoteRef/>
      </w:r>
      <w:r w:rsidRPr="00CD7B80">
        <w:rPr>
          <w:sz w:val="20"/>
          <w:szCs w:val="20"/>
        </w:rPr>
        <w:t xml:space="preserve"> P. </w:t>
      </w:r>
      <w:r w:rsidRPr="00CD7B80">
        <w:rPr>
          <w:smallCaps/>
          <w:sz w:val="20"/>
          <w:szCs w:val="20"/>
        </w:rPr>
        <w:t>Van Ommeslaghe</w:t>
      </w:r>
      <w:r w:rsidRPr="00CD7B80">
        <w:rPr>
          <w:sz w:val="20"/>
          <w:szCs w:val="20"/>
        </w:rPr>
        <w:t xml:space="preserve">, </w:t>
      </w:r>
      <w:r w:rsidRPr="00CD7B80">
        <w:rPr>
          <w:i/>
          <w:sz w:val="20"/>
          <w:szCs w:val="20"/>
        </w:rPr>
        <w:t>Traité de droit civil belge (De Page)</w:t>
      </w:r>
      <w:r w:rsidRPr="00CD7B80">
        <w:rPr>
          <w:sz w:val="20"/>
          <w:szCs w:val="20"/>
        </w:rPr>
        <w:t xml:space="preserve">, </w:t>
      </w:r>
      <w:r w:rsidRPr="00CD7B80">
        <w:rPr>
          <w:i/>
          <w:sz w:val="20"/>
          <w:szCs w:val="20"/>
          <w:lang w:val="nl-NL"/>
        </w:rPr>
        <w:t>op. cit.</w:t>
      </w:r>
      <w:r w:rsidRPr="00CD7B80">
        <w:rPr>
          <w:sz w:val="20"/>
          <w:szCs w:val="20"/>
        </w:rPr>
        <w:t>, vol. 1, pp. 362 et 371.</w:t>
      </w:r>
    </w:p>
  </w:footnote>
  <w:footnote w:id="105">
    <w:p w14:paraId="287A0A62" w14:textId="08FABB28" w:rsidR="002658C8" w:rsidRPr="00CD7B80" w:rsidRDefault="002658C8" w:rsidP="00CA177F">
      <w:pPr>
        <w:pStyle w:val="Notedebasdepage"/>
        <w:jc w:val="both"/>
        <w:rPr>
          <w:rFonts w:eastAsia="Times New Roman"/>
          <w:sz w:val="20"/>
          <w:szCs w:val="20"/>
        </w:rPr>
      </w:pPr>
      <w:r w:rsidRPr="00CD7B80">
        <w:rPr>
          <w:rStyle w:val="Marquenotebasdepage"/>
          <w:sz w:val="20"/>
          <w:szCs w:val="20"/>
        </w:rPr>
        <w:footnoteRef/>
      </w:r>
      <w:r w:rsidRPr="00CD7B80">
        <w:rPr>
          <w:sz w:val="20"/>
          <w:szCs w:val="20"/>
        </w:rPr>
        <w:t xml:space="preserve"> </w:t>
      </w:r>
      <w:r w:rsidRPr="00CD7B80">
        <w:rPr>
          <w:sz w:val="20"/>
          <w:szCs w:val="20"/>
          <w:lang w:val="fr-BE"/>
        </w:rPr>
        <w:t xml:space="preserve">P. </w:t>
      </w:r>
      <w:r w:rsidRPr="00CD7B80">
        <w:rPr>
          <w:smallCaps/>
          <w:sz w:val="20"/>
          <w:szCs w:val="20"/>
          <w:lang w:val="fr-BE"/>
        </w:rPr>
        <w:t>Wéry</w:t>
      </w:r>
      <w:r w:rsidRPr="00CD7B80">
        <w:rPr>
          <w:sz w:val="20"/>
          <w:szCs w:val="20"/>
          <w:lang w:val="fr-BE"/>
        </w:rPr>
        <w:t xml:space="preserve">, </w:t>
      </w:r>
      <w:r w:rsidRPr="00CD7B80">
        <w:rPr>
          <w:i/>
          <w:sz w:val="20"/>
          <w:szCs w:val="20"/>
          <w:lang w:val="fr-BE"/>
        </w:rPr>
        <w:t>Droit des obligations</w:t>
      </w:r>
      <w:r w:rsidRPr="00CD7B80">
        <w:rPr>
          <w:sz w:val="20"/>
          <w:szCs w:val="20"/>
          <w:lang w:val="fr-BE"/>
        </w:rPr>
        <w:t xml:space="preserve">, </w:t>
      </w:r>
      <w:r w:rsidRPr="00CD7B80">
        <w:rPr>
          <w:i/>
          <w:sz w:val="20"/>
          <w:szCs w:val="20"/>
          <w:lang w:val="nl-NL"/>
        </w:rPr>
        <w:t>op. cit.</w:t>
      </w:r>
      <w:r w:rsidRPr="00CD7B80">
        <w:rPr>
          <w:sz w:val="20"/>
          <w:szCs w:val="20"/>
          <w:lang w:val="fr-BE"/>
        </w:rPr>
        <w:t>, vol. 1, p. 319.</w:t>
      </w:r>
      <w:r w:rsidRPr="00CD7B80">
        <w:rPr>
          <w:sz w:val="20"/>
          <w:szCs w:val="20"/>
        </w:rPr>
        <w:t xml:space="preserve"> </w:t>
      </w:r>
    </w:p>
  </w:footnote>
  <w:footnote w:id="106">
    <w:p w14:paraId="02EE621E" w14:textId="2B99CB1C" w:rsidR="002658C8" w:rsidRPr="00595D90" w:rsidRDefault="002658C8" w:rsidP="00CA177F">
      <w:pPr>
        <w:pStyle w:val="Notedebasdepage"/>
        <w:jc w:val="both"/>
        <w:rPr>
          <w:sz w:val="20"/>
          <w:szCs w:val="20"/>
          <w:lang w:val="fr-BE"/>
        </w:rPr>
      </w:pPr>
      <w:r w:rsidRPr="00CD7B80">
        <w:rPr>
          <w:rStyle w:val="Marquenotebasdepage"/>
          <w:sz w:val="20"/>
          <w:szCs w:val="20"/>
        </w:rPr>
        <w:footnoteRef/>
      </w:r>
      <w:r w:rsidRPr="00CD7B80">
        <w:rPr>
          <w:sz w:val="20"/>
          <w:szCs w:val="20"/>
        </w:rPr>
        <w:t xml:space="preserve"> Dans le même sens, voy. </w:t>
      </w:r>
      <w:r w:rsidRPr="00CD7B80">
        <w:rPr>
          <w:sz w:val="20"/>
          <w:szCs w:val="20"/>
          <w:lang w:val="fr-BE"/>
        </w:rPr>
        <w:t xml:space="preserve">M. </w:t>
      </w:r>
      <w:r w:rsidRPr="00CD7B80">
        <w:rPr>
          <w:smallCaps/>
          <w:sz w:val="20"/>
          <w:szCs w:val="20"/>
          <w:lang w:val="fr-BE"/>
        </w:rPr>
        <w:t>von Kuegelgen</w:t>
      </w:r>
      <w:r w:rsidRPr="00CD7B80">
        <w:rPr>
          <w:sz w:val="20"/>
          <w:szCs w:val="20"/>
          <w:lang w:val="fr-BE"/>
        </w:rPr>
        <w:t xml:space="preserve">, « Réflexions sur le régime des nullités et des inopposabilités », in </w:t>
      </w:r>
      <w:r w:rsidRPr="00CD7B80">
        <w:rPr>
          <w:i/>
          <w:sz w:val="20"/>
          <w:szCs w:val="20"/>
          <w:lang w:val="fr-BE"/>
        </w:rPr>
        <w:t>Les obligations contractuelles</w:t>
      </w:r>
      <w:r w:rsidRPr="00CD7B80">
        <w:rPr>
          <w:sz w:val="20"/>
          <w:szCs w:val="20"/>
          <w:lang w:val="fr-BE"/>
        </w:rPr>
        <w:t xml:space="preserve">, P.-A. Foriers (dir.), Ed. du Jeune Barreau de Bruxelles, 2000, p. 609 ; </w:t>
      </w:r>
      <w:r w:rsidRPr="00CD7B80">
        <w:rPr>
          <w:sz w:val="20"/>
          <w:szCs w:val="20"/>
        </w:rPr>
        <w:t xml:space="preserve">T. </w:t>
      </w:r>
      <w:r w:rsidRPr="00CD7B80">
        <w:rPr>
          <w:smallCaps/>
          <w:sz w:val="20"/>
          <w:szCs w:val="20"/>
        </w:rPr>
        <w:t>Tanghe</w:t>
      </w:r>
      <w:r w:rsidRPr="00CD7B80">
        <w:rPr>
          <w:sz w:val="20"/>
          <w:szCs w:val="20"/>
        </w:rPr>
        <w:t xml:space="preserve">, « De rechter kan een overeenkomst niet ambtshalve vernietigen », note sous Cass., 28 septembre 2012, </w:t>
      </w:r>
      <w:r w:rsidRPr="00CD7B80">
        <w:rPr>
          <w:i/>
          <w:sz w:val="20"/>
          <w:szCs w:val="20"/>
        </w:rPr>
        <w:t>T.B.B.R</w:t>
      </w:r>
      <w:r w:rsidRPr="00CD7B80">
        <w:rPr>
          <w:sz w:val="20"/>
          <w:szCs w:val="20"/>
        </w:rPr>
        <w:t xml:space="preserve">., 2013, p. 236 ; </w:t>
      </w:r>
      <w:r w:rsidRPr="00CD7B80">
        <w:rPr>
          <w:sz w:val="20"/>
          <w:szCs w:val="20"/>
          <w:lang w:val="fr-BE"/>
        </w:rPr>
        <w:t xml:space="preserve">R. </w:t>
      </w:r>
      <w:r w:rsidRPr="00CD7B80">
        <w:rPr>
          <w:smallCaps/>
          <w:sz w:val="20"/>
          <w:szCs w:val="20"/>
          <w:lang w:val="fr-BE"/>
        </w:rPr>
        <w:t>Hardy</w:t>
      </w:r>
      <w:r w:rsidRPr="00CD7B80">
        <w:rPr>
          <w:sz w:val="20"/>
          <w:szCs w:val="20"/>
          <w:lang w:val="fr-BE"/>
        </w:rPr>
        <w:t xml:space="preserve">, « Le juge doit-il soulever d’office la nullité relative d’un contrat, d’une clause contractuelle ou d’un acte ? », </w:t>
      </w:r>
      <w:r w:rsidRPr="00CD7B80">
        <w:rPr>
          <w:i/>
          <w:sz w:val="20"/>
          <w:szCs w:val="20"/>
          <w:lang w:val="fr-BE"/>
        </w:rPr>
        <w:t>op. cit.</w:t>
      </w:r>
      <w:r w:rsidRPr="00CD7B80">
        <w:rPr>
          <w:sz w:val="20"/>
          <w:szCs w:val="20"/>
          <w:lang w:val="fr-BE"/>
        </w:rPr>
        <w:t xml:space="preserve">, p. 601 ; </w:t>
      </w:r>
      <w:r w:rsidRPr="00CD7B80">
        <w:rPr>
          <w:rFonts w:eastAsia="Times New Roman"/>
          <w:sz w:val="20"/>
          <w:szCs w:val="20"/>
        </w:rPr>
        <w:t xml:space="preserve">K. </w:t>
      </w:r>
      <w:r w:rsidRPr="00CD7B80">
        <w:rPr>
          <w:rFonts w:eastAsia="Times New Roman"/>
          <w:smallCaps/>
          <w:sz w:val="20"/>
          <w:szCs w:val="20"/>
        </w:rPr>
        <w:t>Wauters</w:t>
      </w:r>
      <w:r w:rsidRPr="00CD7B80">
        <w:rPr>
          <w:rFonts w:eastAsia="Times New Roman"/>
          <w:sz w:val="20"/>
          <w:szCs w:val="20"/>
        </w:rPr>
        <w:t xml:space="preserve"> et Th. </w:t>
      </w:r>
      <w:r w:rsidRPr="00CD7B80">
        <w:rPr>
          <w:rFonts w:eastAsia="Times New Roman"/>
          <w:smallCaps/>
          <w:sz w:val="20"/>
          <w:szCs w:val="20"/>
        </w:rPr>
        <w:t>Cambier</w:t>
      </w:r>
      <w:r w:rsidRPr="00CD7B80">
        <w:rPr>
          <w:rFonts w:eastAsia="Times New Roman"/>
          <w:sz w:val="20"/>
          <w:szCs w:val="20"/>
        </w:rPr>
        <w:t xml:space="preserve">, « Illégalité de l’acte détachable: quels sont les effets une fois le contrat conclu ? », </w:t>
      </w:r>
      <w:r w:rsidRPr="00CD7B80">
        <w:rPr>
          <w:rFonts w:eastAsia="Times New Roman"/>
          <w:i/>
          <w:sz w:val="20"/>
          <w:szCs w:val="20"/>
        </w:rPr>
        <w:t>op. cit.</w:t>
      </w:r>
      <w:r w:rsidRPr="00CD7B80">
        <w:rPr>
          <w:rFonts w:eastAsia="Times New Roman"/>
          <w:sz w:val="20"/>
          <w:szCs w:val="20"/>
        </w:rPr>
        <w:t xml:space="preserve">, p. 616 ; A. </w:t>
      </w:r>
      <w:r w:rsidRPr="00CD7B80">
        <w:rPr>
          <w:rFonts w:eastAsia="Times New Roman"/>
          <w:smallCaps/>
          <w:sz w:val="20"/>
          <w:szCs w:val="20"/>
        </w:rPr>
        <w:t>Delvaux</w:t>
      </w:r>
      <w:r w:rsidRPr="00CD7B80">
        <w:rPr>
          <w:rFonts w:eastAsia="Times New Roman"/>
          <w:sz w:val="20"/>
          <w:szCs w:val="20"/>
        </w:rPr>
        <w:t xml:space="preserve"> et B. </w:t>
      </w:r>
      <w:r w:rsidRPr="00CD7B80">
        <w:rPr>
          <w:rFonts w:eastAsia="Times New Roman"/>
          <w:smallCaps/>
          <w:sz w:val="20"/>
          <w:szCs w:val="20"/>
        </w:rPr>
        <w:t>De Cocqueau</w:t>
      </w:r>
      <w:r w:rsidRPr="00CD7B80">
        <w:rPr>
          <w:rFonts w:eastAsia="Times New Roman"/>
          <w:sz w:val="20"/>
          <w:szCs w:val="20"/>
        </w:rPr>
        <w:t xml:space="preserve">, « L’ordre public en droit de la construction: un concept aux multiples ramifications », </w:t>
      </w:r>
      <w:r w:rsidRPr="00CD7B80">
        <w:rPr>
          <w:rFonts w:eastAsia="Times New Roman"/>
          <w:i/>
          <w:sz w:val="20"/>
          <w:szCs w:val="20"/>
        </w:rPr>
        <w:t>Droit de la construction</w:t>
      </w:r>
      <w:r w:rsidRPr="00CD7B80">
        <w:rPr>
          <w:rFonts w:eastAsia="Times New Roman"/>
          <w:sz w:val="20"/>
          <w:szCs w:val="20"/>
        </w:rPr>
        <w:t>, Bruxelles, Éditions Larcier, 2016, p. 16.</w:t>
      </w:r>
    </w:p>
  </w:footnote>
  <w:footnote w:id="107">
    <w:p w14:paraId="6CED114A" w14:textId="77777777"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M. </w:t>
      </w:r>
      <w:r w:rsidRPr="00CD7B80">
        <w:rPr>
          <w:smallCaps/>
          <w:sz w:val="20"/>
          <w:szCs w:val="20"/>
        </w:rPr>
        <w:t>Dupont</w:t>
      </w:r>
      <w:r w:rsidRPr="00CD7B80">
        <w:rPr>
          <w:sz w:val="20"/>
          <w:szCs w:val="20"/>
        </w:rPr>
        <w:t xml:space="preserve">, « Nullité absolue et nullité relative », </w:t>
      </w:r>
      <w:r w:rsidRPr="00CD7B80">
        <w:rPr>
          <w:i/>
          <w:sz w:val="20"/>
          <w:szCs w:val="20"/>
          <w:lang w:val="nl-NL"/>
        </w:rPr>
        <w:t>op. cit.</w:t>
      </w:r>
      <w:r w:rsidRPr="00CD7B80">
        <w:rPr>
          <w:sz w:val="20"/>
          <w:szCs w:val="20"/>
        </w:rPr>
        <w:t>, p. 59.</w:t>
      </w:r>
    </w:p>
  </w:footnote>
  <w:footnote w:id="108">
    <w:p w14:paraId="5DBD2CDB" w14:textId="41A4D22E"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fr-BE"/>
        </w:rPr>
        <w:t xml:space="preserve">Liège, 3 février 1999, </w:t>
      </w:r>
      <w:r w:rsidRPr="00CD7B80">
        <w:rPr>
          <w:i/>
          <w:sz w:val="20"/>
          <w:szCs w:val="20"/>
          <w:lang w:val="fr-BE"/>
        </w:rPr>
        <w:t>R.G.D.C</w:t>
      </w:r>
      <w:r w:rsidRPr="00CD7B80">
        <w:rPr>
          <w:sz w:val="20"/>
          <w:szCs w:val="20"/>
          <w:lang w:val="fr-BE"/>
        </w:rPr>
        <w:t xml:space="preserve">., 2001, p. 559 : </w:t>
      </w:r>
      <w:r w:rsidRPr="00CD7B80">
        <w:rPr>
          <w:sz w:val="20"/>
          <w:szCs w:val="20"/>
        </w:rPr>
        <w:t>« </w:t>
      </w:r>
      <w:r w:rsidRPr="00CD7B80">
        <w:rPr>
          <w:sz w:val="20"/>
          <w:szCs w:val="20"/>
          <w:lang w:val="fr-BE"/>
        </w:rPr>
        <w:t xml:space="preserve">Si le juge est tenu de prononcer la nullité d'un contrat contraire à l'ordre public ou, à tout le moins, d'en refuser l'exécution, soit à la demande d'une partie, soit d'office, il conserve, au niveau des restitutions éventuelles et à propos de l'application de l'adage in pari causa turpitudinis cessat repetitio, un véritable pouvoir d'appréciation ». La nuance apportée par la Cour d’appel est importante du point de vue du respect du principe dispositif (cfr. </w:t>
      </w:r>
      <w:r w:rsidRPr="00BD1891">
        <w:rPr>
          <w:sz w:val="20"/>
          <w:szCs w:val="20"/>
          <w:lang w:val="fr-BE"/>
        </w:rPr>
        <w:t>ci-après, §29</w:t>
      </w:r>
      <w:r w:rsidRPr="00CD7B80">
        <w:rPr>
          <w:sz w:val="20"/>
          <w:szCs w:val="20"/>
          <w:lang w:val="fr-BE"/>
        </w:rPr>
        <w:t>).</w:t>
      </w:r>
    </w:p>
  </w:footnote>
  <w:footnote w:id="109">
    <w:p w14:paraId="3D6EB9D5" w14:textId="00E7E7B3" w:rsidR="002658C8" w:rsidRPr="00CD7B80" w:rsidRDefault="002658C8" w:rsidP="00CA177F">
      <w:pPr>
        <w:jc w:val="both"/>
        <w:rPr>
          <w:sz w:val="20"/>
          <w:szCs w:val="20"/>
          <w:lang w:val="fr-BE"/>
        </w:rPr>
      </w:pPr>
      <w:r w:rsidRPr="00CD7B80">
        <w:rPr>
          <w:rStyle w:val="Marquenotebasdepage"/>
          <w:sz w:val="20"/>
          <w:szCs w:val="20"/>
        </w:rPr>
        <w:footnoteRef/>
      </w:r>
      <w:r w:rsidRPr="00CD7B80">
        <w:rPr>
          <w:sz w:val="20"/>
          <w:szCs w:val="20"/>
        </w:rPr>
        <w:t xml:space="preserve"> </w:t>
      </w:r>
      <w:r w:rsidRPr="00CD7B80">
        <w:rPr>
          <w:sz w:val="20"/>
          <w:szCs w:val="20"/>
          <w:lang w:val="fr-BE"/>
        </w:rPr>
        <w:t xml:space="preserve">H. </w:t>
      </w:r>
      <w:r w:rsidRPr="00CD7B80">
        <w:rPr>
          <w:smallCaps/>
          <w:sz w:val="20"/>
          <w:szCs w:val="20"/>
          <w:lang w:val="fr-BE"/>
        </w:rPr>
        <w:t>De</w:t>
      </w:r>
      <w:r w:rsidRPr="00CD7B80">
        <w:rPr>
          <w:sz w:val="20"/>
          <w:szCs w:val="20"/>
          <w:lang w:val="fr-BE"/>
        </w:rPr>
        <w:t xml:space="preserve"> </w:t>
      </w:r>
      <w:r w:rsidRPr="00CD7B80">
        <w:rPr>
          <w:smallCaps/>
          <w:sz w:val="20"/>
          <w:szCs w:val="20"/>
          <w:lang w:val="fr-BE"/>
        </w:rPr>
        <w:t>Page</w:t>
      </w:r>
      <w:r w:rsidRPr="00CD7B80">
        <w:rPr>
          <w:sz w:val="20"/>
          <w:szCs w:val="20"/>
          <w:lang w:val="fr-BE"/>
        </w:rPr>
        <w:t xml:space="preserve">, </w:t>
      </w:r>
      <w:r w:rsidRPr="00CD7B80">
        <w:rPr>
          <w:i/>
          <w:sz w:val="20"/>
          <w:szCs w:val="20"/>
          <w:lang w:val="fr-BE"/>
        </w:rPr>
        <w:t>Traité élémentaire de droit civil belge</w:t>
      </w:r>
      <w:r w:rsidRPr="00CD7B80">
        <w:rPr>
          <w:sz w:val="20"/>
          <w:szCs w:val="20"/>
          <w:lang w:val="fr-BE"/>
        </w:rPr>
        <w:t xml:space="preserve">, </w:t>
      </w:r>
      <w:r w:rsidRPr="00CD7B80">
        <w:rPr>
          <w:i/>
          <w:sz w:val="20"/>
          <w:szCs w:val="20"/>
          <w:lang w:val="nl-NL"/>
        </w:rPr>
        <w:t>op. cit.</w:t>
      </w:r>
      <w:r w:rsidRPr="00CD7B80">
        <w:rPr>
          <w:sz w:val="20"/>
          <w:szCs w:val="20"/>
          <w:lang w:val="fr-BE"/>
        </w:rPr>
        <w:t>, t. II, p. 761, n°789.</w:t>
      </w:r>
    </w:p>
  </w:footnote>
  <w:footnote w:id="110">
    <w:p w14:paraId="5BDBE5E9" w14:textId="6B1FFBBC"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 xml:space="preserve">Cl. </w:t>
      </w:r>
      <w:r w:rsidRPr="00CD7B80">
        <w:rPr>
          <w:smallCaps/>
          <w:sz w:val="20"/>
          <w:szCs w:val="20"/>
          <w:lang w:val="nl-NL"/>
        </w:rPr>
        <w:t>Renard</w:t>
      </w:r>
      <w:r w:rsidRPr="00CD7B80">
        <w:rPr>
          <w:sz w:val="20"/>
          <w:szCs w:val="20"/>
          <w:lang w:val="nl-NL"/>
        </w:rPr>
        <w:t xml:space="preserve"> et E. </w:t>
      </w:r>
      <w:r w:rsidRPr="00CD7B80">
        <w:rPr>
          <w:smallCaps/>
          <w:sz w:val="20"/>
          <w:szCs w:val="20"/>
          <w:lang w:val="nl-NL"/>
        </w:rPr>
        <w:t>Vieuxjean</w:t>
      </w:r>
      <w:r w:rsidRPr="00CD7B80">
        <w:rPr>
          <w:sz w:val="20"/>
          <w:szCs w:val="20"/>
          <w:lang w:val="nl-NL"/>
        </w:rPr>
        <w:t xml:space="preserve">, </w:t>
      </w:r>
      <w:r w:rsidRPr="00CD7B80">
        <w:rPr>
          <w:sz w:val="20"/>
          <w:szCs w:val="20"/>
        </w:rPr>
        <w:t xml:space="preserve">« </w:t>
      </w:r>
      <w:r w:rsidRPr="00CD7B80">
        <w:rPr>
          <w:sz w:val="20"/>
          <w:szCs w:val="20"/>
          <w:lang w:val="nl-NL"/>
        </w:rPr>
        <w:t>Nullité, inexistence et annulabilité en Droit civil belge</w:t>
      </w:r>
      <w:r w:rsidRPr="00CD7B80">
        <w:rPr>
          <w:sz w:val="20"/>
          <w:szCs w:val="20"/>
        </w:rPr>
        <w:t xml:space="preserve"> »</w:t>
      </w:r>
      <w:r w:rsidRPr="00CD7B80">
        <w:rPr>
          <w:sz w:val="20"/>
          <w:szCs w:val="20"/>
          <w:lang w:val="nl-NL"/>
        </w:rPr>
        <w:t xml:space="preserve">, </w:t>
      </w:r>
      <w:r w:rsidRPr="00CD7B80">
        <w:rPr>
          <w:i/>
          <w:sz w:val="20"/>
          <w:szCs w:val="20"/>
          <w:lang w:val="nl-NL"/>
        </w:rPr>
        <w:t>op. cit.</w:t>
      </w:r>
      <w:r w:rsidRPr="00CD7B80">
        <w:rPr>
          <w:sz w:val="20"/>
          <w:szCs w:val="20"/>
          <w:lang w:val="nl-NL"/>
        </w:rPr>
        <w:t xml:space="preserve">, p. 280. </w:t>
      </w:r>
    </w:p>
  </w:footnote>
  <w:footnote w:id="111">
    <w:p w14:paraId="1E100B11" w14:textId="77777777" w:rsidR="002658C8" w:rsidRPr="00CD7B80" w:rsidRDefault="002658C8" w:rsidP="00CA177F">
      <w:pPr>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 xml:space="preserve">V. </w:t>
      </w:r>
      <w:r w:rsidRPr="00CD7B80">
        <w:rPr>
          <w:smallCaps/>
          <w:sz w:val="20"/>
          <w:szCs w:val="20"/>
          <w:lang w:val="nl-NL"/>
        </w:rPr>
        <w:t>Bastiaen</w:t>
      </w:r>
      <w:r w:rsidRPr="00CD7B80">
        <w:rPr>
          <w:sz w:val="20"/>
          <w:szCs w:val="20"/>
          <w:lang w:val="nl-NL"/>
        </w:rPr>
        <w:tab/>
        <w:t xml:space="preserve">et G. </w:t>
      </w:r>
      <w:r w:rsidRPr="00CD7B80">
        <w:rPr>
          <w:smallCaps/>
          <w:sz w:val="20"/>
          <w:szCs w:val="20"/>
          <w:lang w:val="nl-NL"/>
        </w:rPr>
        <w:t>Thoreau</w:t>
      </w:r>
      <w:r w:rsidRPr="00CD7B80">
        <w:rPr>
          <w:sz w:val="20"/>
          <w:szCs w:val="20"/>
          <w:lang w:val="nl-NL"/>
        </w:rPr>
        <w:t xml:space="preserve">, </w:t>
      </w:r>
      <w:r w:rsidRPr="00CD7B80">
        <w:rPr>
          <w:sz w:val="20"/>
          <w:szCs w:val="20"/>
        </w:rPr>
        <w:t xml:space="preserve">« </w:t>
      </w:r>
      <w:r w:rsidRPr="00CD7B80">
        <w:rPr>
          <w:sz w:val="20"/>
          <w:szCs w:val="20"/>
          <w:lang w:val="nl-NL"/>
        </w:rPr>
        <w:t>Les nullités en droit civil</w:t>
      </w:r>
      <w:r w:rsidRPr="00CD7B80">
        <w:rPr>
          <w:sz w:val="20"/>
          <w:szCs w:val="20"/>
        </w:rPr>
        <w:t xml:space="preserve"> »</w:t>
      </w:r>
      <w:r w:rsidRPr="00CD7B80">
        <w:rPr>
          <w:sz w:val="20"/>
          <w:szCs w:val="20"/>
          <w:lang w:val="nl-NL"/>
        </w:rPr>
        <w:t xml:space="preserve">, in </w:t>
      </w:r>
      <w:r w:rsidRPr="00CD7B80">
        <w:rPr>
          <w:i/>
          <w:sz w:val="20"/>
          <w:szCs w:val="20"/>
          <w:lang w:val="nl-NL"/>
        </w:rPr>
        <w:t>Les nullités en droit belge. Sanction du vice et conséquences</w:t>
      </w:r>
      <w:r w:rsidRPr="00CD7B80">
        <w:rPr>
          <w:sz w:val="20"/>
          <w:szCs w:val="20"/>
          <w:lang w:val="nl-NL"/>
        </w:rPr>
        <w:t xml:space="preserve">, Actes du colloque organisé le 7 juin 1991 par la Conférence Libre du Jeune Barreau de Liège, Liège, éd. Jeune barreau, 1991, p. 80. </w:t>
      </w:r>
    </w:p>
  </w:footnote>
  <w:footnote w:id="112">
    <w:p w14:paraId="5B53F7BE" w14:textId="45095102"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J.-B. </w:t>
      </w:r>
      <w:r w:rsidRPr="00CD7B80">
        <w:rPr>
          <w:smallCaps/>
          <w:sz w:val="20"/>
          <w:szCs w:val="20"/>
        </w:rPr>
        <w:t>Perrin</w:t>
      </w:r>
      <w:r w:rsidRPr="00CD7B80">
        <w:rPr>
          <w:sz w:val="20"/>
          <w:szCs w:val="20"/>
        </w:rPr>
        <w:t xml:space="preserve">, </w:t>
      </w:r>
      <w:r w:rsidRPr="00CD7B80">
        <w:rPr>
          <w:i/>
          <w:sz w:val="20"/>
          <w:szCs w:val="20"/>
        </w:rPr>
        <w:t>Traité des nullités de droit, en matière civile</w:t>
      </w:r>
      <w:r w:rsidRPr="00CD7B80">
        <w:rPr>
          <w:sz w:val="20"/>
          <w:szCs w:val="20"/>
        </w:rPr>
        <w:t>, Lons-Le-Saunier, Imprimerie De Gauthier Neveu, 1816, p. 53.</w:t>
      </w:r>
      <w:r w:rsidRPr="00CD7B80">
        <w:rPr>
          <w:sz w:val="20"/>
          <w:szCs w:val="20"/>
          <w:lang w:val="nl-NL"/>
        </w:rPr>
        <w:t xml:space="preserve"> Plus récemment, voy. </w:t>
      </w:r>
      <w:r w:rsidRPr="00CD7B80">
        <w:rPr>
          <w:sz w:val="20"/>
          <w:szCs w:val="20"/>
          <w:lang w:val="fr-BE"/>
        </w:rPr>
        <w:t xml:space="preserve">H. </w:t>
      </w:r>
      <w:r w:rsidRPr="00CD7B80">
        <w:rPr>
          <w:smallCaps/>
          <w:sz w:val="20"/>
          <w:szCs w:val="20"/>
          <w:lang w:val="fr-BE"/>
        </w:rPr>
        <w:t>Jacquemin</w:t>
      </w:r>
      <w:r w:rsidRPr="00CD7B80">
        <w:rPr>
          <w:sz w:val="20"/>
          <w:szCs w:val="20"/>
          <w:lang w:val="fr-BE"/>
        </w:rPr>
        <w:t xml:space="preserve">, « La nullité comme sanction de l’inobservation du formalisme contractuel », in </w:t>
      </w:r>
      <w:r w:rsidRPr="00CD7B80">
        <w:rPr>
          <w:i/>
          <w:sz w:val="20"/>
          <w:szCs w:val="20"/>
          <w:lang w:val="fr-BE"/>
        </w:rPr>
        <w:t>La nullité des contrats</w:t>
      </w:r>
      <w:r w:rsidRPr="00CD7B80">
        <w:rPr>
          <w:sz w:val="20"/>
          <w:szCs w:val="20"/>
          <w:lang w:val="fr-BE"/>
        </w:rPr>
        <w:t xml:space="preserve">, Bruxelles, De Boeck et Larcier, 2006, CUP, n°88, p. 119. En France, voy. </w:t>
      </w:r>
      <w:r w:rsidRPr="00CD7B80">
        <w:rPr>
          <w:sz w:val="20"/>
          <w:szCs w:val="20"/>
          <w:lang w:val="nl-NL"/>
        </w:rPr>
        <w:t xml:space="preserve">M. </w:t>
      </w:r>
      <w:r w:rsidRPr="00CD7B80">
        <w:rPr>
          <w:smallCaps/>
          <w:sz w:val="20"/>
          <w:szCs w:val="20"/>
          <w:lang w:val="nl-NL"/>
        </w:rPr>
        <w:t>Fabre-Magnan</w:t>
      </w:r>
      <w:r w:rsidRPr="00CD7B80">
        <w:rPr>
          <w:sz w:val="20"/>
          <w:szCs w:val="20"/>
          <w:lang w:val="nl-NL"/>
        </w:rPr>
        <w:t xml:space="preserve">, </w:t>
      </w:r>
      <w:r w:rsidRPr="00CD7B80">
        <w:rPr>
          <w:i/>
          <w:sz w:val="20"/>
          <w:szCs w:val="20"/>
          <w:lang w:val="nl-NL"/>
        </w:rPr>
        <w:t>Les obligations</w:t>
      </w:r>
      <w:r w:rsidRPr="00CD7B80">
        <w:rPr>
          <w:sz w:val="20"/>
          <w:szCs w:val="20"/>
          <w:lang w:val="nl-NL"/>
        </w:rPr>
        <w:t xml:space="preserve">, </w:t>
      </w:r>
      <w:r w:rsidRPr="00CD7B80">
        <w:rPr>
          <w:i/>
          <w:sz w:val="20"/>
          <w:szCs w:val="20"/>
          <w:lang w:val="nl-NL"/>
        </w:rPr>
        <w:t>op. cit.</w:t>
      </w:r>
      <w:r w:rsidRPr="00CD7B80">
        <w:rPr>
          <w:sz w:val="20"/>
          <w:szCs w:val="20"/>
          <w:lang w:val="nl-NL"/>
        </w:rPr>
        <w:t>, p. 396 (</w:t>
      </w:r>
      <w:r w:rsidRPr="00CD7B80">
        <w:rPr>
          <w:sz w:val="20"/>
          <w:szCs w:val="20"/>
          <w:lang w:val="fr-BE"/>
        </w:rPr>
        <w:t>« (…) lorsque la nullité touche à l’ordre public, le juge a le pouvoir de la soulever d’office (…) »</w:t>
      </w:r>
      <w:r w:rsidRPr="00CD7B80">
        <w:rPr>
          <w:sz w:val="20"/>
          <w:szCs w:val="20"/>
          <w:lang w:val="nl-NL"/>
        </w:rPr>
        <w:t>).</w:t>
      </w:r>
    </w:p>
  </w:footnote>
  <w:footnote w:id="113">
    <w:p w14:paraId="2C17C2D7" w14:textId="77777777" w:rsidR="002658C8" w:rsidRPr="00CD7B80" w:rsidRDefault="002658C8" w:rsidP="00CA177F">
      <w:pPr>
        <w:jc w:val="both"/>
        <w:rPr>
          <w:sz w:val="20"/>
          <w:szCs w:val="20"/>
        </w:rPr>
      </w:pPr>
      <w:r w:rsidRPr="00CD7B80">
        <w:rPr>
          <w:rStyle w:val="Marquenotebasdepage"/>
          <w:sz w:val="20"/>
          <w:szCs w:val="20"/>
        </w:rPr>
        <w:footnoteRef/>
      </w:r>
      <w:r w:rsidRPr="00CD7B80">
        <w:rPr>
          <w:sz w:val="20"/>
          <w:szCs w:val="20"/>
        </w:rPr>
        <w:t xml:space="preserve"> Voy. notamment Cass., 14 avril 2005, </w:t>
      </w:r>
      <w:r w:rsidRPr="00CD7B80">
        <w:rPr>
          <w:i/>
          <w:sz w:val="20"/>
          <w:szCs w:val="20"/>
        </w:rPr>
        <w:t>J.T</w:t>
      </w:r>
      <w:r w:rsidRPr="00CD7B80">
        <w:rPr>
          <w:sz w:val="20"/>
          <w:szCs w:val="20"/>
        </w:rPr>
        <w:t xml:space="preserve">., 2005, p. 659 et note J. </w:t>
      </w:r>
      <w:r w:rsidRPr="00CD7B80">
        <w:rPr>
          <w:smallCaps/>
          <w:sz w:val="20"/>
          <w:szCs w:val="20"/>
        </w:rPr>
        <w:t>Van Compernolle</w:t>
      </w:r>
      <w:r w:rsidRPr="00CD7B80">
        <w:rPr>
          <w:sz w:val="20"/>
          <w:szCs w:val="20"/>
        </w:rPr>
        <w:t xml:space="preserve"> ; </w:t>
      </w:r>
      <w:r w:rsidRPr="00CD7B80">
        <w:rPr>
          <w:i/>
          <w:sz w:val="20"/>
          <w:szCs w:val="20"/>
        </w:rPr>
        <w:t>J.L.M.B</w:t>
      </w:r>
      <w:r w:rsidRPr="00CD7B80">
        <w:rPr>
          <w:sz w:val="20"/>
          <w:szCs w:val="20"/>
        </w:rPr>
        <w:t xml:space="preserve">., 2005, p. 856 et note G. de Leval ; Cass., 9 mai 2008, </w:t>
      </w:r>
      <w:r w:rsidRPr="00CD7B80">
        <w:rPr>
          <w:i/>
          <w:sz w:val="20"/>
          <w:szCs w:val="20"/>
        </w:rPr>
        <w:t>J.T</w:t>
      </w:r>
      <w:r w:rsidRPr="00CD7B80">
        <w:rPr>
          <w:sz w:val="20"/>
          <w:szCs w:val="20"/>
        </w:rPr>
        <w:t xml:space="preserve">., 2008, p. 721 ; Cass., 4 mars 2013, </w:t>
      </w:r>
      <w:r w:rsidRPr="00CD7B80">
        <w:rPr>
          <w:i/>
          <w:sz w:val="20"/>
          <w:szCs w:val="20"/>
        </w:rPr>
        <w:t>Pas</w:t>
      </w:r>
      <w:r w:rsidRPr="00CD7B80">
        <w:rPr>
          <w:sz w:val="20"/>
          <w:szCs w:val="20"/>
        </w:rPr>
        <w:t xml:space="preserve">., I, n°526. Cette obligation se transforme en faculté en ce qui concerne les faits « adventices » du dossier ou « simplement allégués » (sur la question, voy. notamment J.-Fr. </w:t>
      </w:r>
      <w:r w:rsidRPr="00CD7B80">
        <w:rPr>
          <w:smallCaps/>
          <w:sz w:val="20"/>
          <w:szCs w:val="20"/>
        </w:rPr>
        <w:t>Van Drooghenbroeck</w:t>
      </w:r>
      <w:r w:rsidRPr="00CD7B80">
        <w:rPr>
          <w:sz w:val="20"/>
          <w:szCs w:val="20"/>
        </w:rPr>
        <w:t xml:space="preserve">, « Chronique de l'office du juge », note sous Cass., 13 mars 2013, </w:t>
      </w:r>
      <w:r w:rsidRPr="00CD7B80">
        <w:rPr>
          <w:i/>
          <w:sz w:val="20"/>
          <w:szCs w:val="20"/>
        </w:rPr>
        <w:t>J.L.M.B</w:t>
      </w:r>
      <w:r w:rsidRPr="00CD7B80">
        <w:rPr>
          <w:sz w:val="20"/>
          <w:szCs w:val="20"/>
        </w:rPr>
        <w:t xml:space="preserve">., 25/2013, p. 1307). </w:t>
      </w:r>
    </w:p>
  </w:footnote>
  <w:footnote w:id="114">
    <w:p w14:paraId="69A0396B" w14:textId="77777777" w:rsidR="002658C8" w:rsidRPr="00CD7B80" w:rsidRDefault="002658C8" w:rsidP="00CA177F">
      <w:pPr>
        <w:pStyle w:val="Notedebasdepage"/>
        <w:jc w:val="both"/>
        <w:rPr>
          <w:sz w:val="20"/>
          <w:szCs w:val="20"/>
        </w:rPr>
      </w:pPr>
      <w:r w:rsidRPr="00CD7B80">
        <w:rPr>
          <w:rStyle w:val="Marquenotebasdepage"/>
          <w:sz w:val="20"/>
          <w:szCs w:val="20"/>
        </w:rPr>
        <w:footnoteRef/>
      </w:r>
      <w:r w:rsidRPr="00CD7B80">
        <w:rPr>
          <w:sz w:val="20"/>
          <w:szCs w:val="20"/>
        </w:rPr>
        <w:t xml:space="preserve"> Cass., </w:t>
      </w:r>
      <w:r w:rsidRPr="00CD7B80">
        <w:rPr>
          <w:sz w:val="20"/>
          <w:szCs w:val="20"/>
          <w:lang w:val="fr-BE"/>
        </w:rPr>
        <w:t xml:space="preserve">28 septembre 2012, </w:t>
      </w:r>
      <w:r w:rsidRPr="00CD7B80">
        <w:rPr>
          <w:i/>
          <w:sz w:val="20"/>
          <w:szCs w:val="20"/>
          <w:lang w:val="fr-BE"/>
        </w:rPr>
        <w:t>J.T</w:t>
      </w:r>
      <w:r w:rsidRPr="00CD7B80">
        <w:rPr>
          <w:sz w:val="20"/>
          <w:szCs w:val="20"/>
          <w:lang w:val="fr-BE"/>
        </w:rPr>
        <w:t xml:space="preserve">., 2013, p. 497. </w:t>
      </w:r>
    </w:p>
  </w:footnote>
  <w:footnote w:id="115">
    <w:p w14:paraId="42C7B77B" w14:textId="77777777" w:rsidR="002658C8" w:rsidRPr="00CD7B80" w:rsidRDefault="002658C8" w:rsidP="00CA177F">
      <w:pPr>
        <w:jc w:val="both"/>
        <w:rPr>
          <w:sz w:val="20"/>
          <w:szCs w:val="20"/>
        </w:rPr>
      </w:pPr>
      <w:r w:rsidRPr="00CD7B80">
        <w:rPr>
          <w:rStyle w:val="Marquenotebasdepage"/>
          <w:sz w:val="20"/>
          <w:szCs w:val="20"/>
        </w:rPr>
        <w:footnoteRef/>
      </w:r>
      <w:r w:rsidRPr="00CD7B80">
        <w:rPr>
          <w:sz w:val="20"/>
          <w:szCs w:val="20"/>
        </w:rPr>
        <w:t xml:space="preserve"> Cass., 8 janvier 2014, </w:t>
      </w:r>
      <w:r w:rsidRPr="00CD7B80">
        <w:rPr>
          <w:i/>
          <w:sz w:val="20"/>
          <w:szCs w:val="20"/>
        </w:rPr>
        <w:t>J.T</w:t>
      </w:r>
      <w:r w:rsidRPr="00CD7B80">
        <w:rPr>
          <w:sz w:val="20"/>
          <w:szCs w:val="20"/>
        </w:rPr>
        <w:t>., 2015, p. 447.</w:t>
      </w:r>
    </w:p>
  </w:footnote>
  <w:footnote w:id="116">
    <w:p w14:paraId="3A42DC7C" w14:textId="26905535"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 xml:space="preserve">H. </w:t>
      </w:r>
      <w:r w:rsidRPr="00CD7B80">
        <w:rPr>
          <w:smallCaps/>
          <w:sz w:val="20"/>
          <w:szCs w:val="20"/>
          <w:lang w:val="nl-NL"/>
        </w:rPr>
        <w:t>Motulsky</w:t>
      </w:r>
      <w:r w:rsidRPr="00CD7B80">
        <w:rPr>
          <w:sz w:val="20"/>
          <w:szCs w:val="20"/>
          <w:lang w:val="nl-NL"/>
        </w:rPr>
        <w:t xml:space="preserve">, « La cause de la demande dans la délimitation de l’office du juge », </w:t>
      </w:r>
      <w:r w:rsidRPr="00CD7B80">
        <w:rPr>
          <w:i/>
          <w:sz w:val="20"/>
          <w:szCs w:val="20"/>
          <w:lang w:val="nl-NL"/>
        </w:rPr>
        <w:t>Chron. Dalloz</w:t>
      </w:r>
      <w:r w:rsidRPr="00CD7B80">
        <w:rPr>
          <w:sz w:val="20"/>
          <w:szCs w:val="20"/>
          <w:lang w:val="nl-NL"/>
        </w:rPr>
        <w:t>, 1964, p. 244.</w:t>
      </w:r>
    </w:p>
  </w:footnote>
  <w:footnote w:id="117">
    <w:p w14:paraId="21BB9D87" w14:textId="16A364C3"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 xml:space="preserve">Fr. </w:t>
      </w:r>
      <w:r w:rsidRPr="00CD7B80">
        <w:rPr>
          <w:smallCaps/>
          <w:sz w:val="20"/>
          <w:szCs w:val="20"/>
          <w:lang w:val="nl-NL"/>
        </w:rPr>
        <w:t>Rigaux</w:t>
      </w:r>
      <w:r w:rsidRPr="00CD7B80">
        <w:rPr>
          <w:sz w:val="20"/>
          <w:szCs w:val="20"/>
          <w:lang w:val="nl-NL"/>
        </w:rPr>
        <w:t xml:space="preserve">, </w:t>
      </w:r>
      <w:r w:rsidRPr="00CD7B80">
        <w:rPr>
          <w:i/>
          <w:sz w:val="20"/>
          <w:szCs w:val="20"/>
          <w:lang w:val="nl-NL"/>
        </w:rPr>
        <w:t>La nature du contrôle de la Cour de cassation</w:t>
      </w:r>
      <w:r w:rsidRPr="00CD7B80">
        <w:rPr>
          <w:sz w:val="20"/>
          <w:szCs w:val="20"/>
          <w:lang w:val="nl-NL"/>
        </w:rPr>
        <w:t>, Bruxelles, Bruylant, 1966, pp. 54-58.</w:t>
      </w:r>
    </w:p>
  </w:footnote>
  <w:footnote w:id="118">
    <w:p w14:paraId="6EDAFBFA" w14:textId="460A7E84"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J.-Fr. </w:t>
      </w:r>
      <w:r w:rsidRPr="00CD7B80">
        <w:rPr>
          <w:smallCaps/>
          <w:sz w:val="20"/>
          <w:szCs w:val="20"/>
        </w:rPr>
        <w:t>van Drooghenbroeck</w:t>
      </w:r>
      <w:r w:rsidRPr="00CD7B80">
        <w:rPr>
          <w:sz w:val="20"/>
          <w:szCs w:val="20"/>
        </w:rPr>
        <w:t xml:space="preserve">, </w:t>
      </w:r>
      <w:r w:rsidRPr="00CD7B80">
        <w:rPr>
          <w:i/>
          <w:sz w:val="20"/>
          <w:szCs w:val="20"/>
        </w:rPr>
        <w:t>Cassation et juridiction - Iura dicit Curia</w:t>
      </w:r>
      <w:r w:rsidRPr="00CD7B80">
        <w:rPr>
          <w:sz w:val="20"/>
          <w:szCs w:val="20"/>
        </w:rPr>
        <w:t>, Bruxelles-Paris, Bruylant-L.G.D.J., 2004, p. 423</w:t>
      </w:r>
      <w:r w:rsidRPr="00CD7B80">
        <w:rPr>
          <w:sz w:val="20"/>
          <w:szCs w:val="20"/>
          <w:lang w:val="nl-NL"/>
        </w:rPr>
        <w:t xml:space="preserve">. </w:t>
      </w:r>
    </w:p>
  </w:footnote>
  <w:footnote w:id="119">
    <w:p w14:paraId="65235398" w14:textId="77777777"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Cass., </w:t>
      </w:r>
      <w:r w:rsidRPr="00CD7B80">
        <w:rPr>
          <w:sz w:val="20"/>
          <w:szCs w:val="20"/>
          <w:lang w:val="fr-BE"/>
        </w:rPr>
        <w:t xml:space="preserve">28 septembre 2012, </w:t>
      </w:r>
      <w:r w:rsidRPr="00CD7B80">
        <w:rPr>
          <w:i/>
          <w:sz w:val="20"/>
          <w:szCs w:val="20"/>
          <w:lang w:val="fr-BE"/>
        </w:rPr>
        <w:t>J.T</w:t>
      </w:r>
      <w:r w:rsidRPr="00CD7B80">
        <w:rPr>
          <w:sz w:val="20"/>
          <w:szCs w:val="20"/>
          <w:lang w:val="fr-BE"/>
        </w:rPr>
        <w:t xml:space="preserve">., 2013, p. 497 ; </w:t>
      </w:r>
      <w:r w:rsidRPr="00CD7B80">
        <w:rPr>
          <w:i/>
          <w:sz w:val="20"/>
          <w:szCs w:val="20"/>
          <w:lang w:val="fr-BE"/>
        </w:rPr>
        <w:t>T.B.B.R</w:t>
      </w:r>
      <w:r w:rsidRPr="00CD7B80">
        <w:rPr>
          <w:sz w:val="20"/>
          <w:szCs w:val="20"/>
          <w:lang w:val="fr-BE"/>
        </w:rPr>
        <w:t xml:space="preserve">., 2013, p. 235 et note T. Tanghe. </w:t>
      </w:r>
    </w:p>
  </w:footnote>
  <w:footnote w:id="120">
    <w:p w14:paraId="713EBC6E" w14:textId="41BCE413" w:rsidR="002658C8" w:rsidRPr="00CD7B80" w:rsidRDefault="002658C8" w:rsidP="00CA177F">
      <w:pPr>
        <w:jc w:val="both"/>
        <w:rPr>
          <w:sz w:val="20"/>
          <w:szCs w:val="20"/>
          <w:lang w:val="fr-BE"/>
        </w:rPr>
      </w:pPr>
      <w:r w:rsidRPr="00CD7B80">
        <w:rPr>
          <w:rStyle w:val="Marquenotebasdepage"/>
          <w:sz w:val="20"/>
          <w:szCs w:val="20"/>
        </w:rPr>
        <w:footnoteRef/>
      </w:r>
      <w:r w:rsidRPr="00CD7B80">
        <w:rPr>
          <w:sz w:val="20"/>
          <w:szCs w:val="20"/>
        </w:rPr>
        <w:t xml:space="preserve"> Cass., </w:t>
      </w:r>
      <w:r w:rsidRPr="00CD7B80">
        <w:rPr>
          <w:sz w:val="20"/>
          <w:szCs w:val="20"/>
          <w:lang w:val="fr-BE"/>
        </w:rPr>
        <w:t xml:space="preserve">28 septembre 2012, </w:t>
      </w:r>
      <w:r w:rsidRPr="00CD7B80">
        <w:rPr>
          <w:i/>
          <w:sz w:val="20"/>
          <w:szCs w:val="20"/>
          <w:lang w:val="fr-BE"/>
        </w:rPr>
        <w:t>J.T</w:t>
      </w:r>
      <w:r w:rsidRPr="00CD7B80">
        <w:rPr>
          <w:sz w:val="20"/>
          <w:szCs w:val="20"/>
          <w:lang w:val="fr-BE"/>
        </w:rPr>
        <w:t xml:space="preserve">., 2013, p. 497 ; </w:t>
      </w:r>
      <w:r w:rsidRPr="00CD7B80">
        <w:rPr>
          <w:i/>
          <w:sz w:val="20"/>
          <w:szCs w:val="20"/>
          <w:lang w:val="fr-BE"/>
        </w:rPr>
        <w:t>T.B.B.R</w:t>
      </w:r>
      <w:r w:rsidRPr="00CD7B80">
        <w:rPr>
          <w:sz w:val="20"/>
          <w:szCs w:val="20"/>
          <w:lang w:val="fr-BE"/>
        </w:rPr>
        <w:t>., 2013, p. 235 et note T. Tanghe</w:t>
      </w:r>
      <w:r w:rsidRPr="00CD7B80">
        <w:rPr>
          <w:sz w:val="20"/>
          <w:szCs w:val="20"/>
          <w:lang w:val="nl-NL"/>
        </w:rPr>
        <w:t xml:space="preserve">. Voy. déjà Cass., 21 juin 2001, </w:t>
      </w:r>
      <w:r w:rsidRPr="00CD7B80">
        <w:rPr>
          <w:i/>
          <w:sz w:val="20"/>
          <w:szCs w:val="20"/>
          <w:lang w:val="nl-NL"/>
        </w:rPr>
        <w:t>Arr. Cass</w:t>
      </w:r>
      <w:r w:rsidRPr="00CD7B80">
        <w:rPr>
          <w:sz w:val="20"/>
          <w:szCs w:val="20"/>
          <w:lang w:val="nl-NL"/>
        </w:rPr>
        <w:t xml:space="preserve">., 2001, p. 1254 (la Cour de cassation casse un arrêt qui annule un mariage alors que cela n’avait été demandé ni par les parties, ni par le ministère public : </w:t>
      </w:r>
      <w:r w:rsidRPr="00CD7B80">
        <w:rPr>
          <w:sz w:val="20"/>
          <w:szCs w:val="20"/>
          <w:lang w:val="fr-BE"/>
        </w:rPr>
        <w:t>« </w:t>
      </w:r>
      <w:r w:rsidRPr="00CD7B80">
        <w:rPr>
          <w:sz w:val="20"/>
          <w:szCs w:val="20"/>
          <w:lang w:val="nl-NL"/>
        </w:rPr>
        <w:t>Attendu qu'en annulant le mariage contracté par les demandeurs, les juges d'appel modifient l'objet de la demande et, par conséquent, violent le principe général du droit relatif à l'autonomie des parties au procès</w:t>
      </w:r>
      <w:r w:rsidRPr="00CD7B80">
        <w:rPr>
          <w:sz w:val="20"/>
          <w:szCs w:val="20"/>
          <w:lang w:val="fr-BE"/>
        </w:rPr>
        <w:t> »</w:t>
      </w:r>
      <w:r w:rsidRPr="00CD7B80">
        <w:rPr>
          <w:sz w:val="20"/>
          <w:szCs w:val="20"/>
          <w:lang w:val="nl-NL"/>
        </w:rPr>
        <w:t>). Voy. le commentaire approbateur de J.-Fr. Van Drooghenbroeck (</w:t>
      </w:r>
      <w:r w:rsidRPr="00CD7B80">
        <w:rPr>
          <w:sz w:val="20"/>
          <w:szCs w:val="20"/>
          <w:lang w:val="fr-BE"/>
        </w:rPr>
        <w:t xml:space="preserve">« L’office juridictionnel du juge belge », in </w:t>
      </w:r>
      <w:r w:rsidRPr="00CD7B80">
        <w:rPr>
          <w:i/>
          <w:sz w:val="20"/>
          <w:szCs w:val="20"/>
          <w:lang w:val="fr-BE"/>
        </w:rPr>
        <w:t>L’office du juge. Etude de droit comparé</w:t>
      </w:r>
      <w:r w:rsidRPr="00CD7B80">
        <w:rPr>
          <w:sz w:val="20"/>
          <w:szCs w:val="20"/>
          <w:lang w:val="fr-BE"/>
        </w:rPr>
        <w:t>, C. Chainais, B. Hess, A. Saletti et J.-Fr. van Drooghenrboeck (dir.), Bruxelles, Bruylant, 2017, à paraître).</w:t>
      </w:r>
    </w:p>
  </w:footnote>
  <w:footnote w:id="121">
    <w:p w14:paraId="5FCCBE75" w14:textId="4E325D4B"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lang w:val="nl-NL"/>
        </w:rPr>
        <w:t xml:space="preserve"> R. </w:t>
      </w:r>
      <w:r w:rsidRPr="00CD7B80">
        <w:rPr>
          <w:smallCaps/>
          <w:sz w:val="20"/>
          <w:szCs w:val="20"/>
          <w:lang w:val="nl-NL"/>
        </w:rPr>
        <w:t>Japiot</w:t>
      </w:r>
      <w:r w:rsidRPr="00CD7B80">
        <w:rPr>
          <w:sz w:val="20"/>
          <w:szCs w:val="20"/>
          <w:lang w:val="nl-NL"/>
        </w:rPr>
        <w:t xml:space="preserve">, </w:t>
      </w:r>
      <w:r w:rsidRPr="00CD7B80">
        <w:rPr>
          <w:i/>
          <w:sz w:val="20"/>
          <w:szCs w:val="20"/>
          <w:lang w:val="nl-NL"/>
        </w:rPr>
        <w:t>Des nullités en matière d’actes juridiques. Essai d’une théorie nouvelle</w:t>
      </w:r>
      <w:r w:rsidRPr="00CD7B80">
        <w:rPr>
          <w:sz w:val="20"/>
          <w:szCs w:val="20"/>
          <w:lang w:val="nl-NL"/>
        </w:rPr>
        <w:t xml:space="preserve">, </w:t>
      </w:r>
      <w:r w:rsidRPr="00CD7B80">
        <w:rPr>
          <w:i/>
          <w:sz w:val="20"/>
          <w:szCs w:val="20"/>
          <w:lang w:val="nl-NL"/>
        </w:rPr>
        <w:t>op. cit.</w:t>
      </w:r>
      <w:r w:rsidRPr="00CD7B80">
        <w:rPr>
          <w:sz w:val="20"/>
          <w:szCs w:val="20"/>
          <w:lang w:val="nl-NL"/>
        </w:rPr>
        <w:t xml:space="preserve">, pp. 168-177. </w:t>
      </w:r>
    </w:p>
  </w:footnote>
  <w:footnote w:id="122">
    <w:p w14:paraId="4CB37348" w14:textId="77777777"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 xml:space="preserve">Cl. </w:t>
      </w:r>
      <w:r w:rsidRPr="00CD7B80">
        <w:rPr>
          <w:smallCaps/>
          <w:sz w:val="20"/>
          <w:szCs w:val="20"/>
          <w:lang w:val="nl-NL"/>
        </w:rPr>
        <w:t>Renard</w:t>
      </w:r>
      <w:r w:rsidRPr="00CD7B80">
        <w:rPr>
          <w:sz w:val="20"/>
          <w:szCs w:val="20"/>
          <w:lang w:val="nl-NL"/>
        </w:rPr>
        <w:t xml:space="preserve"> et E. </w:t>
      </w:r>
      <w:r w:rsidRPr="00CD7B80">
        <w:rPr>
          <w:smallCaps/>
          <w:sz w:val="20"/>
          <w:szCs w:val="20"/>
          <w:lang w:val="nl-NL"/>
        </w:rPr>
        <w:t>Vieuxjean</w:t>
      </w:r>
      <w:r w:rsidRPr="00CD7B80">
        <w:rPr>
          <w:sz w:val="20"/>
          <w:szCs w:val="20"/>
          <w:lang w:val="nl-NL"/>
        </w:rPr>
        <w:t xml:space="preserve">, </w:t>
      </w:r>
      <w:r w:rsidRPr="00CD7B80">
        <w:rPr>
          <w:sz w:val="20"/>
          <w:szCs w:val="20"/>
        </w:rPr>
        <w:t xml:space="preserve">« </w:t>
      </w:r>
      <w:r w:rsidRPr="00CD7B80">
        <w:rPr>
          <w:sz w:val="20"/>
          <w:szCs w:val="20"/>
          <w:lang w:val="nl-NL"/>
        </w:rPr>
        <w:t>Nullité, inexistence et annulabilité en Droit civil belge</w:t>
      </w:r>
      <w:r w:rsidRPr="00CD7B80">
        <w:rPr>
          <w:sz w:val="20"/>
          <w:szCs w:val="20"/>
        </w:rPr>
        <w:t xml:space="preserve"> »</w:t>
      </w:r>
      <w:r w:rsidRPr="00CD7B80">
        <w:rPr>
          <w:sz w:val="20"/>
          <w:szCs w:val="20"/>
          <w:lang w:val="nl-NL"/>
        </w:rPr>
        <w:t xml:space="preserve">, </w:t>
      </w:r>
      <w:r w:rsidRPr="00CD7B80">
        <w:rPr>
          <w:i/>
          <w:sz w:val="20"/>
          <w:szCs w:val="20"/>
          <w:lang w:val="nl-NL"/>
        </w:rPr>
        <w:t>op. cit.</w:t>
      </w:r>
      <w:r w:rsidRPr="00CD7B80">
        <w:rPr>
          <w:sz w:val="20"/>
          <w:szCs w:val="20"/>
          <w:lang w:val="nl-NL"/>
        </w:rPr>
        <w:t xml:space="preserve">, p. 265. Voy. déjà, dans le même sens, le </w:t>
      </w:r>
      <w:r w:rsidRPr="00CD7B80">
        <w:rPr>
          <w:i/>
          <w:sz w:val="20"/>
          <w:szCs w:val="20"/>
          <w:lang w:val="nl-NL"/>
        </w:rPr>
        <w:t>Répertoire pratique de droit belge</w:t>
      </w:r>
      <w:r w:rsidRPr="00CD7B80">
        <w:rPr>
          <w:sz w:val="20"/>
          <w:szCs w:val="20"/>
          <w:lang w:val="nl-NL"/>
        </w:rPr>
        <w:t xml:space="preserve"> (</w:t>
      </w:r>
      <w:r w:rsidRPr="00CD7B80">
        <w:rPr>
          <w:i/>
          <w:sz w:val="20"/>
          <w:szCs w:val="20"/>
          <w:lang w:val="nl-NL"/>
        </w:rPr>
        <w:t>op. cit</w:t>
      </w:r>
      <w:r w:rsidRPr="00CD7B80">
        <w:rPr>
          <w:sz w:val="20"/>
          <w:szCs w:val="20"/>
          <w:lang w:val="nl-NL"/>
        </w:rPr>
        <w:t xml:space="preserve">., p. 19). </w:t>
      </w:r>
    </w:p>
  </w:footnote>
  <w:footnote w:id="123">
    <w:p w14:paraId="1B5A76C3" w14:textId="3F41DDAF" w:rsidR="002658C8" w:rsidRPr="00CD7B80" w:rsidRDefault="002658C8" w:rsidP="00CA177F">
      <w:pPr>
        <w:jc w:val="both"/>
        <w:rPr>
          <w:sz w:val="20"/>
          <w:szCs w:val="20"/>
          <w:lang w:val="fr-BE"/>
        </w:rPr>
      </w:pPr>
      <w:r w:rsidRPr="00CD7B80">
        <w:rPr>
          <w:rStyle w:val="Marquenotebasdepage"/>
          <w:sz w:val="20"/>
          <w:szCs w:val="20"/>
        </w:rPr>
        <w:footnoteRef/>
      </w:r>
      <w:r w:rsidRPr="00CD7B80">
        <w:rPr>
          <w:sz w:val="20"/>
          <w:szCs w:val="20"/>
        </w:rPr>
        <w:t xml:space="preserve"> </w:t>
      </w:r>
      <w:r w:rsidRPr="00CD7B80">
        <w:rPr>
          <w:sz w:val="20"/>
          <w:szCs w:val="20"/>
          <w:lang w:val="fr-BE"/>
        </w:rPr>
        <w:t xml:space="preserve">M. </w:t>
      </w:r>
      <w:r w:rsidRPr="00CD7B80">
        <w:rPr>
          <w:smallCaps/>
          <w:sz w:val="20"/>
          <w:szCs w:val="20"/>
          <w:lang w:val="fr-BE"/>
        </w:rPr>
        <w:t>von Kuegelgen</w:t>
      </w:r>
      <w:r w:rsidRPr="00CD7B80">
        <w:rPr>
          <w:sz w:val="20"/>
          <w:szCs w:val="20"/>
          <w:lang w:val="fr-BE"/>
        </w:rPr>
        <w:t>, « Réflexions sur le régime des nullités et des inopposabilités »,</w:t>
      </w:r>
      <w:r w:rsidRPr="00595D90">
        <w:rPr>
          <w:i/>
          <w:sz w:val="20"/>
          <w:szCs w:val="20"/>
          <w:lang w:val="fr-BE"/>
        </w:rPr>
        <w:t xml:space="preserve"> op. cit.</w:t>
      </w:r>
      <w:r w:rsidRPr="00CD7B80">
        <w:rPr>
          <w:sz w:val="20"/>
          <w:szCs w:val="20"/>
          <w:lang w:val="fr-BE"/>
        </w:rPr>
        <w:t>, p. 610.</w:t>
      </w:r>
    </w:p>
  </w:footnote>
  <w:footnote w:id="124">
    <w:p w14:paraId="0140C2ED" w14:textId="77777777"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 xml:space="preserve">Cl. </w:t>
      </w:r>
      <w:r w:rsidRPr="00CD7B80">
        <w:rPr>
          <w:smallCaps/>
          <w:sz w:val="20"/>
          <w:szCs w:val="20"/>
          <w:lang w:val="nl-NL"/>
        </w:rPr>
        <w:t>Renard</w:t>
      </w:r>
      <w:r w:rsidRPr="00CD7B80">
        <w:rPr>
          <w:sz w:val="20"/>
          <w:szCs w:val="20"/>
          <w:lang w:val="nl-NL"/>
        </w:rPr>
        <w:t xml:space="preserve"> et E. </w:t>
      </w:r>
      <w:r w:rsidRPr="00CD7B80">
        <w:rPr>
          <w:smallCaps/>
          <w:sz w:val="20"/>
          <w:szCs w:val="20"/>
          <w:lang w:val="nl-NL"/>
        </w:rPr>
        <w:t>Vieuxjean</w:t>
      </w:r>
      <w:r w:rsidRPr="00CD7B80">
        <w:rPr>
          <w:sz w:val="20"/>
          <w:szCs w:val="20"/>
          <w:lang w:val="nl-NL"/>
        </w:rPr>
        <w:t xml:space="preserve">, </w:t>
      </w:r>
      <w:r w:rsidRPr="00CD7B80">
        <w:rPr>
          <w:sz w:val="20"/>
          <w:szCs w:val="20"/>
        </w:rPr>
        <w:t xml:space="preserve">« </w:t>
      </w:r>
      <w:r w:rsidRPr="00CD7B80">
        <w:rPr>
          <w:sz w:val="20"/>
          <w:szCs w:val="20"/>
          <w:lang w:val="nl-NL"/>
        </w:rPr>
        <w:t>Nullité, inexistence et annulabilité en Droit civil belge</w:t>
      </w:r>
      <w:r w:rsidRPr="00CD7B80">
        <w:rPr>
          <w:sz w:val="20"/>
          <w:szCs w:val="20"/>
        </w:rPr>
        <w:t xml:space="preserve"> »</w:t>
      </w:r>
      <w:r w:rsidRPr="00CD7B80">
        <w:rPr>
          <w:sz w:val="20"/>
          <w:szCs w:val="20"/>
          <w:lang w:val="nl-NL"/>
        </w:rPr>
        <w:t xml:space="preserve">, </w:t>
      </w:r>
      <w:r w:rsidRPr="00CD7B80">
        <w:rPr>
          <w:i/>
          <w:sz w:val="20"/>
          <w:szCs w:val="20"/>
          <w:lang w:val="nl-NL"/>
        </w:rPr>
        <w:t>op. cit.</w:t>
      </w:r>
      <w:r w:rsidRPr="00CD7B80">
        <w:rPr>
          <w:sz w:val="20"/>
          <w:szCs w:val="20"/>
          <w:lang w:val="nl-NL"/>
        </w:rPr>
        <w:t xml:space="preserve">, pp. 253-254. </w:t>
      </w:r>
    </w:p>
  </w:footnote>
  <w:footnote w:id="125">
    <w:p w14:paraId="2C82BA91" w14:textId="216A08EC" w:rsidR="002658C8" w:rsidRPr="00CD7B80" w:rsidRDefault="002658C8" w:rsidP="00CA177F">
      <w:pPr>
        <w:jc w:val="both"/>
        <w:rPr>
          <w:sz w:val="20"/>
          <w:szCs w:val="20"/>
          <w:lang w:val="fr-BE"/>
        </w:rPr>
      </w:pPr>
      <w:r w:rsidRPr="00CD7B80">
        <w:rPr>
          <w:rStyle w:val="Marquenotebasdepage"/>
          <w:sz w:val="20"/>
          <w:szCs w:val="20"/>
        </w:rPr>
        <w:footnoteRef/>
      </w:r>
      <w:r w:rsidRPr="00CD7B80">
        <w:rPr>
          <w:sz w:val="20"/>
          <w:szCs w:val="20"/>
        </w:rPr>
        <w:t xml:space="preserve"> C’est en ce sens que H. Jacquemin préfère parler de nullité « prétorienne » plutôt que « virtuelle » (</w:t>
      </w:r>
      <w:r w:rsidRPr="00CD7B80">
        <w:rPr>
          <w:i/>
          <w:sz w:val="20"/>
          <w:szCs w:val="20"/>
          <w:lang w:val="fr-BE"/>
        </w:rPr>
        <w:t>Le formalisme contractuel. Mécanisme de protection de la partie faible</w:t>
      </w:r>
      <w:r w:rsidRPr="00CD7B80">
        <w:rPr>
          <w:sz w:val="20"/>
          <w:szCs w:val="20"/>
          <w:lang w:val="fr-BE"/>
        </w:rPr>
        <w:t xml:space="preserve">, </w:t>
      </w:r>
      <w:r w:rsidRPr="00CD7B80">
        <w:rPr>
          <w:i/>
          <w:sz w:val="20"/>
          <w:szCs w:val="20"/>
          <w:lang w:val="fr-BE"/>
        </w:rPr>
        <w:t>op. cit.</w:t>
      </w:r>
      <w:r w:rsidRPr="00CD7B80">
        <w:rPr>
          <w:sz w:val="20"/>
          <w:szCs w:val="20"/>
          <w:lang w:val="fr-BE"/>
        </w:rPr>
        <w:t>, p. 449).</w:t>
      </w:r>
    </w:p>
  </w:footnote>
  <w:footnote w:id="126">
    <w:p w14:paraId="2E3C168F" w14:textId="77777777"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 xml:space="preserve">R. </w:t>
      </w:r>
      <w:r w:rsidRPr="00CD7B80">
        <w:rPr>
          <w:smallCaps/>
          <w:sz w:val="20"/>
          <w:szCs w:val="20"/>
          <w:lang w:val="nl-NL"/>
        </w:rPr>
        <w:t>Japiot</w:t>
      </w:r>
      <w:r w:rsidRPr="00CD7B80">
        <w:rPr>
          <w:sz w:val="20"/>
          <w:szCs w:val="20"/>
          <w:lang w:val="nl-NL"/>
        </w:rPr>
        <w:t xml:space="preserve">, </w:t>
      </w:r>
      <w:r w:rsidRPr="00CD7B80">
        <w:rPr>
          <w:i/>
          <w:sz w:val="20"/>
          <w:szCs w:val="20"/>
          <w:lang w:val="nl-NL"/>
        </w:rPr>
        <w:t>Des nullités en matière d’actes juridiques. Essai d’une théorie nouvelle</w:t>
      </w:r>
      <w:r w:rsidRPr="00CD7B80">
        <w:rPr>
          <w:sz w:val="20"/>
          <w:szCs w:val="20"/>
          <w:lang w:val="nl-NL"/>
        </w:rPr>
        <w:t xml:space="preserve">, </w:t>
      </w:r>
      <w:r w:rsidRPr="00CD7B80">
        <w:rPr>
          <w:i/>
          <w:sz w:val="20"/>
          <w:szCs w:val="20"/>
          <w:lang w:val="nl-NL"/>
        </w:rPr>
        <w:t>op. cit.</w:t>
      </w:r>
      <w:r w:rsidRPr="00CD7B80">
        <w:rPr>
          <w:sz w:val="20"/>
          <w:szCs w:val="20"/>
          <w:lang w:val="nl-NL"/>
        </w:rPr>
        <w:t>, p. 41.</w:t>
      </w:r>
    </w:p>
  </w:footnote>
  <w:footnote w:id="127">
    <w:p w14:paraId="523A2EAC" w14:textId="4E4673A8" w:rsidR="002658C8" w:rsidRPr="00CD7B80" w:rsidRDefault="002658C8" w:rsidP="00CA177F">
      <w:pPr>
        <w:jc w:val="both"/>
        <w:rPr>
          <w:sz w:val="20"/>
          <w:szCs w:val="20"/>
          <w:lang w:val="fr-BE"/>
        </w:rPr>
      </w:pPr>
      <w:r w:rsidRPr="00CD7B80">
        <w:rPr>
          <w:rStyle w:val="Marquenotebasdepage"/>
          <w:sz w:val="20"/>
          <w:szCs w:val="20"/>
        </w:rPr>
        <w:footnoteRef/>
      </w:r>
      <w:r w:rsidRPr="00CD7B80">
        <w:rPr>
          <w:sz w:val="20"/>
          <w:szCs w:val="20"/>
        </w:rPr>
        <w:t xml:space="preserve"> </w:t>
      </w:r>
      <w:r w:rsidRPr="00CD7B80">
        <w:rPr>
          <w:sz w:val="20"/>
          <w:szCs w:val="20"/>
          <w:lang w:val="fr-BE"/>
        </w:rPr>
        <w:t xml:space="preserve">H. </w:t>
      </w:r>
      <w:r w:rsidRPr="00CD7B80">
        <w:rPr>
          <w:smallCaps/>
          <w:sz w:val="20"/>
          <w:szCs w:val="20"/>
          <w:lang w:val="fr-BE"/>
        </w:rPr>
        <w:t>De</w:t>
      </w:r>
      <w:r w:rsidRPr="00CD7B80">
        <w:rPr>
          <w:sz w:val="20"/>
          <w:szCs w:val="20"/>
          <w:lang w:val="fr-BE"/>
        </w:rPr>
        <w:t xml:space="preserve"> </w:t>
      </w:r>
      <w:r w:rsidRPr="00CD7B80">
        <w:rPr>
          <w:smallCaps/>
          <w:sz w:val="20"/>
          <w:szCs w:val="20"/>
          <w:lang w:val="fr-BE"/>
        </w:rPr>
        <w:t>Page</w:t>
      </w:r>
      <w:r w:rsidRPr="00CD7B80">
        <w:rPr>
          <w:sz w:val="20"/>
          <w:szCs w:val="20"/>
          <w:lang w:val="fr-BE"/>
        </w:rPr>
        <w:t xml:space="preserve">, </w:t>
      </w:r>
      <w:r w:rsidRPr="00CD7B80">
        <w:rPr>
          <w:i/>
          <w:sz w:val="20"/>
          <w:szCs w:val="20"/>
          <w:lang w:val="fr-BE"/>
        </w:rPr>
        <w:t>Traité élémentaire de droit civil belge</w:t>
      </w:r>
      <w:r w:rsidRPr="00CD7B80">
        <w:rPr>
          <w:sz w:val="20"/>
          <w:szCs w:val="20"/>
          <w:lang w:val="fr-BE"/>
        </w:rPr>
        <w:t xml:space="preserve">, </w:t>
      </w:r>
      <w:r w:rsidRPr="00CD7B80">
        <w:rPr>
          <w:i/>
          <w:sz w:val="20"/>
          <w:szCs w:val="20"/>
          <w:lang w:val="nl-NL"/>
        </w:rPr>
        <w:t>op. cit.,</w:t>
      </w:r>
      <w:r w:rsidRPr="00CD7B80">
        <w:rPr>
          <w:sz w:val="20"/>
          <w:szCs w:val="20"/>
          <w:lang w:val="fr-BE"/>
        </w:rPr>
        <w:t xml:space="preserve"> t. II, p. 758, n°785. </w:t>
      </w:r>
    </w:p>
  </w:footnote>
  <w:footnote w:id="128">
    <w:p w14:paraId="1D1D5FF4" w14:textId="77777777"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i/>
          <w:sz w:val="20"/>
          <w:szCs w:val="20"/>
          <w:lang w:val="nl-NL"/>
        </w:rPr>
        <w:t>R.P.D.B</w:t>
      </w:r>
      <w:r w:rsidRPr="00CD7B80">
        <w:rPr>
          <w:sz w:val="20"/>
          <w:szCs w:val="20"/>
          <w:lang w:val="nl-NL"/>
        </w:rPr>
        <w:t xml:space="preserve">. v° nullité, p. 6. </w:t>
      </w:r>
    </w:p>
  </w:footnote>
  <w:footnote w:id="129">
    <w:p w14:paraId="0AF6DF2C" w14:textId="59775EDA"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 xml:space="preserve">Cl. </w:t>
      </w:r>
      <w:r w:rsidRPr="00CD7B80">
        <w:rPr>
          <w:smallCaps/>
          <w:sz w:val="20"/>
          <w:szCs w:val="20"/>
          <w:lang w:val="nl-NL"/>
        </w:rPr>
        <w:t>Renard</w:t>
      </w:r>
      <w:r w:rsidRPr="00CD7B80">
        <w:rPr>
          <w:sz w:val="20"/>
          <w:szCs w:val="20"/>
          <w:lang w:val="nl-NL"/>
        </w:rPr>
        <w:t xml:space="preserve"> et E. </w:t>
      </w:r>
      <w:r w:rsidRPr="00CD7B80">
        <w:rPr>
          <w:smallCaps/>
          <w:sz w:val="20"/>
          <w:szCs w:val="20"/>
          <w:lang w:val="nl-NL"/>
        </w:rPr>
        <w:t>Vieuxjean</w:t>
      </w:r>
      <w:r w:rsidRPr="00CD7B80">
        <w:rPr>
          <w:sz w:val="20"/>
          <w:szCs w:val="20"/>
          <w:lang w:val="nl-NL"/>
        </w:rPr>
        <w:t xml:space="preserve">, </w:t>
      </w:r>
      <w:r w:rsidRPr="00CD7B80">
        <w:rPr>
          <w:sz w:val="20"/>
          <w:szCs w:val="20"/>
        </w:rPr>
        <w:t xml:space="preserve">« </w:t>
      </w:r>
      <w:r w:rsidRPr="00CD7B80">
        <w:rPr>
          <w:sz w:val="20"/>
          <w:szCs w:val="20"/>
          <w:lang w:val="nl-NL"/>
        </w:rPr>
        <w:t>Nullité, inexistence et annulabilité en Droit civil belge</w:t>
      </w:r>
      <w:r w:rsidRPr="00CD7B80">
        <w:rPr>
          <w:sz w:val="20"/>
          <w:szCs w:val="20"/>
        </w:rPr>
        <w:t xml:space="preserve"> »</w:t>
      </w:r>
      <w:r w:rsidRPr="00CD7B80">
        <w:rPr>
          <w:sz w:val="20"/>
          <w:szCs w:val="20"/>
          <w:lang w:val="nl-NL"/>
        </w:rPr>
        <w:t xml:space="preserve">, </w:t>
      </w:r>
      <w:r w:rsidRPr="00CD7B80">
        <w:rPr>
          <w:i/>
          <w:sz w:val="20"/>
          <w:szCs w:val="20"/>
          <w:lang w:val="nl-NL"/>
        </w:rPr>
        <w:t>op. cit.</w:t>
      </w:r>
      <w:r w:rsidRPr="00CD7B80">
        <w:rPr>
          <w:sz w:val="20"/>
          <w:szCs w:val="20"/>
          <w:lang w:val="nl-NL"/>
        </w:rPr>
        <w:t>, p. 268</w:t>
      </w:r>
      <w:r w:rsidRPr="00CD7B80">
        <w:rPr>
          <w:sz w:val="20"/>
          <w:szCs w:val="20"/>
          <w:lang w:val="fr-BE"/>
        </w:rPr>
        <w:t xml:space="preserve">. </w:t>
      </w:r>
    </w:p>
  </w:footnote>
  <w:footnote w:id="130">
    <w:p w14:paraId="3BDC520F" w14:textId="77777777"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 xml:space="preserve">V. </w:t>
      </w:r>
      <w:r w:rsidRPr="00CD7B80">
        <w:rPr>
          <w:smallCaps/>
          <w:sz w:val="20"/>
          <w:szCs w:val="20"/>
          <w:lang w:val="nl-NL"/>
        </w:rPr>
        <w:t>Bastiaen</w:t>
      </w:r>
      <w:r w:rsidRPr="00CD7B80">
        <w:rPr>
          <w:sz w:val="20"/>
          <w:szCs w:val="20"/>
          <w:lang w:val="nl-NL"/>
        </w:rPr>
        <w:tab/>
        <w:t xml:space="preserve">et G. </w:t>
      </w:r>
      <w:r w:rsidRPr="00CD7B80">
        <w:rPr>
          <w:smallCaps/>
          <w:sz w:val="20"/>
          <w:szCs w:val="20"/>
          <w:lang w:val="nl-NL"/>
        </w:rPr>
        <w:t>Thoreau</w:t>
      </w:r>
      <w:r w:rsidRPr="00CD7B80">
        <w:rPr>
          <w:sz w:val="20"/>
          <w:szCs w:val="20"/>
          <w:lang w:val="nl-NL"/>
        </w:rPr>
        <w:t xml:space="preserve">, </w:t>
      </w:r>
      <w:r w:rsidRPr="00CD7B80">
        <w:rPr>
          <w:sz w:val="20"/>
          <w:szCs w:val="20"/>
        </w:rPr>
        <w:t xml:space="preserve">« </w:t>
      </w:r>
      <w:r w:rsidRPr="00CD7B80">
        <w:rPr>
          <w:sz w:val="20"/>
          <w:szCs w:val="20"/>
          <w:lang w:val="nl-NL"/>
        </w:rPr>
        <w:t>Les nullités en droit civil</w:t>
      </w:r>
      <w:r w:rsidRPr="00CD7B80">
        <w:rPr>
          <w:sz w:val="20"/>
          <w:szCs w:val="20"/>
        </w:rPr>
        <w:t xml:space="preserve"> »</w:t>
      </w:r>
      <w:r w:rsidRPr="00CD7B80">
        <w:rPr>
          <w:sz w:val="20"/>
          <w:szCs w:val="20"/>
          <w:lang w:val="nl-NL"/>
        </w:rPr>
        <w:t xml:space="preserve">, </w:t>
      </w:r>
      <w:r w:rsidRPr="00CD7B80">
        <w:rPr>
          <w:i/>
          <w:sz w:val="20"/>
          <w:szCs w:val="20"/>
          <w:lang w:val="nl-NL"/>
        </w:rPr>
        <w:t>op. cit.</w:t>
      </w:r>
      <w:r w:rsidRPr="00CD7B80">
        <w:rPr>
          <w:sz w:val="20"/>
          <w:szCs w:val="20"/>
          <w:lang w:val="nl-NL"/>
        </w:rPr>
        <w:t>, p. 37. Cet adage conserve toute son actualité en droit judiciaire ou en droit pénal.</w:t>
      </w:r>
    </w:p>
  </w:footnote>
  <w:footnote w:id="131">
    <w:p w14:paraId="0E44D056" w14:textId="77777777" w:rsidR="002658C8" w:rsidRPr="00CD7B80" w:rsidRDefault="002658C8" w:rsidP="00CA177F">
      <w:pPr>
        <w:pStyle w:val="Notedebasdepage"/>
        <w:jc w:val="both"/>
        <w:rPr>
          <w:sz w:val="20"/>
          <w:szCs w:val="20"/>
          <w:lang w:val="fr-BE"/>
        </w:rPr>
      </w:pPr>
      <w:r w:rsidRPr="00CD7B80">
        <w:rPr>
          <w:rStyle w:val="Marquenotebasdepage"/>
          <w:sz w:val="20"/>
          <w:szCs w:val="20"/>
        </w:rPr>
        <w:footnoteRef/>
      </w:r>
      <w:r w:rsidRPr="00CD7B80">
        <w:rPr>
          <w:sz w:val="20"/>
          <w:szCs w:val="20"/>
        </w:rPr>
        <w:t xml:space="preserve"> P. </w:t>
      </w:r>
      <w:r w:rsidRPr="00CD7B80">
        <w:rPr>
          <w:smallCaps/>
          <w:sz w:val="20"/>
          <w:szCs w:val="20"/>
        </w:rPr>
        <w:t>Van Ommeslaghe</w:t>
      </w:r>
      <w:r w:rsidRPr="00CD7B80">
        <w:rPr>
          <w:sz w:val="20"/>
          <w:szCs w:val="20"/>
        </w:rPr>
        <w:t xml:space="preserve">, </w:t>
      </w:r>
      <w:r w:rsidRPr="00CD7B80">
        <w:rPr>
          <w:i/>
          <w:sz w:val="20"/>
          <w:szCs w:val="20"/>
        </w:rPr>
        <w:t>Traité de droit civil belge (De Page)</w:t>
      </w:r>
      <w:r w:rsidRPr="00CD7B80">
        <w:rPr>
          <w:sz w:val="20"/>
          <w:szCs w:val="20"/>
        </w:rPr>
        <w:t xml:space="preserve">, </w:t>
      </w:r>
      <w:r w:rsidRPr="00CD7B80">
        <w:rPr>
          <w:i/>
          <w:sz w:val="20"/>
          <w:szCs w:val="20"/>
          <w:lang w:val="nl-NL"/>
        </w:rPr>
        <w:t>op. cit.</w:t>
      </w:r>
      <w:r w:rsidRPr="00CD7B80">
        <w:rPr>
          <w:sz w:val="20"/>
          <w:szCs w:val="20"/>
        </w:rPr>
        <w:t>, vol. 3, pp. 966-967.</w:t>
      </w:r>
    </w:p>
  </w:footnote>
  <w:footnote w:id="132">
    <w:p w14:paraId="00F92047" w14:textId="62AB1CA9"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 xml:space="preserve">J. </w:t>
      </w:r>
      <w:r w:rsidRPr="00CD7B80">
        <w:rPr>
          <w:smallCaps/>
          <w:sz w:val="20"/>
          <w:szCs w:val="20"/>
          <w:lang w:val="nl-NL"/>
        </w:rPr>
        <w:t>Hansenne</w:t>
      </w:r>
      <w:r w:rsidRPr="00CD7B80">
        <w:rPr>
          <w:sz w:val="20"/>
          <w:szCs w:val="20"/>
          <w:lang w:val="nl-NL"/>
        </w:rPr>
        <w:t xml:space="preserve">, </w:t>
      </w:r>
      <w:r w:rsidRPr="00CD7B80">
        <w:rPr>
          <w:i/>
          <w:sz w:val="20"/>
          <w:szCs w:val="20"/>
          <w:lang w:val="nl-NL"/>
        </w:rPr>
        <w:t>Introduction au droit privé</w:t>
      </w:r>
      <w:r w:rsidRPr="00CD7B80">
        <w:rPr>
          <w:sz w:val="20"/>
          <w:szCs w:val="20"/>
          <w:lang w:val="nl-NL"/>
        </w:rPr>
        <w:t xml:space="preserve">, Kluwer, 2000, p. 341. Dans le même sens, voy. </w:t>
      </w:r>
      <w:r w:rsidRPr="00CD7B80">
        <w:rPr>
          <w:sz w:val="20"/>
          <w:szCs w:val="20"/>
          <w:lang w:val="fr-BE"/>
        </w:rPr>
        <w:t xml:space="preserve">M. </w:t>
      </w:r>
      <w:r w:rsidRPr="00CD7B80">
        <w:rPr>
          <w:smallCaps/>
          <w:sz w:val="20"/>
          <w:szCs w:val="20"/>
          <w:lang w:val="fr-BE"/>
        </w:rPr>
        <w:t>von Kuegelgen</w:t>
      </w:r>
      <w:r w:rsidRPr="00CD7B80">
        <w:rPr>
          <w:sz w:val="20"/>
          <w:szCs w:val="20"/>
          <w:lang w:val="fr-BE"/>
        </w:rPr>
        <w:t xml:space="preserve">, « Réflexions sur le régime des nullités et des inopposabilités », </w:t>
      </w:r>
      <w:r w:rsidRPr="00CD7B80">
        <w:rPr>
          <w:i/>
          <w:sz w:val="20"/>
          <w:szCs w:val="20"/>
          <w:lang w:val="nl-NL"/>
        </w:rPr>
        <w:t>op. cit.</w:t>
      </w:r>
      <w:r w:rsidRPr="00CD7B80">
        <w:rPr>
          <w:sz w:val="20"/>
          <w:szCs w:val="20"/>
          <w:lang w:val="fr-BE"/>
        </w:rPr>
        <w:t xml:space="preserve">, p. 609. Cet auteur limite toutefois, sans s’en expliquer, le pouvoir d’appréciation du juge aux règles protégeant des intérêts privés. Voy. ci-après, </w:t>
      </w:r>
      <w:r>
        <w:rPr>
          <w:sz w:val="20"/>
          <w:szCs w:val="20"/>
          <w:lang w:val="fr-BE"/>
        </w:rPr>
        <w:t>§33</w:t>
      </w:r>
      <w:r w:rsidRPr="00CD7B80">
        <w:rPr>
          <w:sz w:val="20"/>
          <w:szCs w:val="20"/>
          <w:lang w:val="fr-BE"/>
        </w:rPr>
        <w:t>.</w:t>
      </w:r>
    </w:p>
  </w:footnote>
  <w:footnote w:id="133">
    <w:p w14:paraId="1B83BA04" w14:textId="7C78A684"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Dans le même sens, voy. </w:t>
      </w:r>
      <w:r w:rsidRPr="00CD7B80">
        <w:rPr>
          <w:sz w:val="20"/>
          <w:szCs w:val="20"/>
          <w:lang w:val="nl-NL"/>
        </w:rPr>
        <w:t xml:space="preserve">R. </w:t>
      </w:r>
      <w:r w:rsidRPr="00CD7B80">
        <w:rPr>
          <w:smallCaps/>
          <w:sz w:val="20"/>
          <w:szCs w:val="20"/>
          <w:lang w:val="nl-NL"/>
        </w:rPr>
        <w:t>Japiot</w:t>
      </w:r>
      <w:r w:rsidRPr="00CD7B80">
        <w:rPr>
          <w:sz w:val="20"/>
          <w:szCs w:val="20"/>
          <w:lang w:val="nl-NL"/>
        </w:rPr>
        <w:t xml:space="preserve">, </w:t>
      </w:r>
      <w:r w:rsidRPr="00CD7B80">
        <w:rPr>
          <w:i/>
          <w:sz w:val="20"/>
          <w:szCs w:val="20"/>
          <w:lang w:val="nl-NL"/>
        </w:rPr>
        <w:t>Des nullités en matière d’actes juridiques. Essai d’une théorie nouvelle</w:t>
      </w:r>
      <w:r w:rsidRPr="00CD7B80">
        <w:rPr>
          <w:sz w:val="20"/>
          <w:szCs w:val="20"/>
          <w:lang w:val="nl-NL"/>
        </w:rPr>
        <w:t xml:space="preserve">, </w:t>
      </w:r>
      <w:r w:rsidRPr="00CD7B80">
        <w:rPr>
          <w:i/>
          <w:sz w:val="20"/>
          <w:szCs w:val="20"/>
          <w:lang w:val="nl-NL"/>
        </w:rPr>
        <w:t>op. cit.</w:t>
      </w:r>
      <w:r w:rsidRPr="00CD7B80">
        <w:rPr>
          <w:sz w:val="20"/>
          <w:szCs w:val="20"/>
          <w:lang w:val="nl-NL"/>
        </w:rPr>
        <w:t>, p. 176 : « Il y a des intérêts en lutte entre lesquels on ne saurait justement décider sans s’inspirer de cette direction que l’on connaît sous le nom de principe de l’équilibre des intérêts en présence »</w:t>
      </w:r>
      <w:r w:rsidRPr="00CD7B80">
        <w:rPr>
          <w:sz w:val="20"/>
          <w:szCs w:val="20"/>
        </w:rPr>
        <w:t>.</w:t>
      </w:r>
    </w:p>
  </w:footnote>
  <w:footnote w:id="134">
    <w:p w14:paraId="7057FDA3" w14:textId="77777777"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 xml:space="preserve">P. </w:t>
      </w:r>
      <w:r w:rsidRPr="00CD7B80">
        <w:rPr>
          <w:smallCaps/>
          <w:sz w:val="20"/>
          <w:szCs w:val="20"/>
          <w:lang w:val="nl-NL"/>
        </w:rPr>
        <w:t>Wéry</w:t>
      </w:r>
      <w:r w:rsidRPr="00CD7B80">
        <w:rPr>
          <w:sz w:val="20"/>
          <w:szCs w:val="20"/>
          <w:lang w:val="nl-NL"/>
        </w:rPr>
        <w:t xml:space="preserve">, « La nullité des contrats d’organisation de voyages et d’intermédiaire de voyages pour méconnaissance des formalités légales », note sous Cass., 26 mai 2006, </w:t>
      </w:r>
      <w:r w:rsidRPr="00CD7B80">
        <w:rPr>
          <w:i/>
          <w:sz w:val="20"/>
          <w:szCs w:val="20"/>
          <w:lang w:val="nl-NL"/>
        </w:rPr>
        <w:t>R.G.D.C</w:t>
      </w:r>
      <w:r w:rsidRPr="00CD7B80">
        <w:rPr>
          <w:sz w:val="20"/>
          <w:szCs w:val="20"/>
          <w:lang w:val="nl-NL"/>
        </w:rPr>
        <w:t>., 2007, p. 482.</w:t>
      </w:r>
    </w:p>
  </w:footnote>
  <w:footnote w:id="135">
    <w:p w14:paraId="2128825F" w14:textId="7DA8694B"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Voy. ci-avant</w:t>
      </w:r>
      <w:r>
        <w:rPr>
          <w:sz w:val="20"/>
          <w:szCs w:val="20"/>
          <w:lang w:val="nl-NL"/>
        </w:rPr>
        <w:t>, note 103</w:t>
      </w:r>
      <w:r w:rsidRPr="00CD7B80">
        <w:rPr>
          <w:sz w:val="20"/>
          <w:szCs w:val="20"/>
          <w:lang w:val="nl-NL"/>
        </w:rPr>
        <w:t>. Sur cette question, voy. également la contribution de F. Peeraer et S. Stijns ci-après.</w:t>
      </w:r>
    </w:p>
  </w:footnote>
  <w:footnote w:id="136">
    <w:p w14:paraId="7D3E5447" w14:textId="7EA4E866" w:rsidR="002658C8" w:rsidRPr="00CD7B80" w:rsidRDefault="002658C8" w:rsidP="00CA177F">
      <w:pPr>
        <w:pStyle w:val="Notedebasdepage"/>
        <w:jc w:val="both"/>
        <w:rPr>
          <w:sz w:val="20"/>
          <w:szCs w:val="20"/>
        </w:rPr>
      </w:pPr>
      <w:r w:rsidRPr="00CD7B80">
        <w:rPr>
          <w:rStyle w:val="Marquenotebasdepage"/>
          <w:sz w:val="20"/>
          <w:szCs w:val="20"/>
        </w:rPr>
        <w:footnoteRef/>
      </w:r>
      <w:r w:rsidRPr="00CD7B80">
        <w:rPr>
          <w:sz w:val="20"/>
          <w:szCs w:val="20"/>
        </w:rPr>
        <w:t xml:space="preserve"> P. </w:t>
      </w:r>
      <w:r w:rsidRPr="00CD7B80">
        <w:rPr>
          <w:smallCaps/>
          <w:sz w:val="20"/>
          <w:szCs w:val="20"/>
        </w:rPr>
        <w:t>W</w:t>
      </w:r>
      <w:r w:rsidRPr="00CD7B80">
        <w:rPr>
          <w:smallCaps/>
          <w:sz w:val="20"/>
          <w:szCs w:val="20"/>
          <w:lang w:val="nl-NL"/>
        </w:rPr>
        <w:t>é</w:t>
      </w:r>
      <w:r w:rsidRPr="00CD7B80">
        <w:rPr>
          <w:smallCaps/>
          <w:sz w:val="20"/>
          <w:szCs w:val="20"/>
        </w:rPr>
        <w:t>ry</w:t>
      </w:r>
      <w:r w:rsidRPr="00CD7B80">
        <w:rPr>
          <w:sz w:val="20"/>
          <w:szCs w:val="20"/>
        </w:rPr>
        <w:t>, « La régularisation d’un contrat entaché d’une cause de nullité », note sous Liège (14</w:t>
      </w:r>
      <w:r w:rsidRPr="00CD7B80">
        <w:rPr>
          <w:sz w:val="20"/>
          <w:szCs w:val="20"/>
          <w:vertAlign w:val="superscript"/>
        </w:rPr>
        <w:t>e</w:t>
      </w:r>
      <w:r w:rsidRPr="00CD7B80">
        <w:rPr>
          <w:sz w:val="20"/>
          <w:szCs w:val="20"/>
        </w:rPr>
        <w:t xml:space="preserve"> ch.), 23 décembre 2014, </w:t>
      </w:r>
      <w:r w:rsidRPr="00CD7B80">
        <w:rPr>
          <w:i/>
          <w:sz w:val="20"/>
          <w:szCs w:val="20"/>
        </w:rPr>
        <w:t>J.L.M.B.</w:t>
      </w:r>
      <w:r w:rsidRPr="00CD7B80">
        <w:rPr>
          <w:sz w:val="20"/>
          <w:szCs w:val="20"/>
        </w:rPr>
        <w:t>, 2016, pp. 298-300.</w:t>
      </w:r>
    </w:p>
  </w:footnote>
  <w:footnote w:id="137">
    <w:p w14:paraId="6F4FD75E" w14:textId="6E9C8B12"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En ce sens, voy. </w:t>
      </w:r>
      <w:r w:rsidRPr="00CD7B80">
        <w:rPr>
          <w:sz w:val="20"/>
          <w:szCs w:val="20"/>
          <w:lang w:val="nl-NL"/>
        </w:rPr>
        <w:t xml:space="preserve">M. </w:t>
      </w:r>
      <w:r w:rsidRPr="00CD7B80">
        <w:rPr>
          <w:smallCaps/>
          <w:sz w:val="20"/>
          <w:szCs w:val="20"/>
          <w:lang w:val="nl-NL"/>
        </w:rPr>
        <w:t>Fabre-Magnan</w:t>
      </w:r>
      <w:r w:rsidRPr="00CD7B80">
        <w:rPr>
          <w:sz w:val="20"/>
          <w:szCs w:val="20"/>
          <w:lang w:val="nl-NL"/>
        </w:rPr>
        <w:t xml:space="preserve">, </w:t>
      </w:r>
      <w:r w:rsidRPr="00CD7B80">
        <w:rPr>
          <w:i/>
          <w:sz w:val="20"/>
          <w:szCs w:val="20"/>
          <w:lang w:val="nl-NL"/>
        </w:rPr>
        <w:t>Les obligations</w:t>
      </w:r>
      <w:r w:rsidRPr="00CD7B80">
        <w:rPr>
          <w:sz w:val="20"/>
          <w:szCs w:val="20"/>
          <w:lang w:val="nl-NL"/>
        </w:rPr>
        <w:t xml:space="preserve">, </w:t>
      </w:r>
      <w:r w:rsidRPr="00CD7B80">
        <w:rPr>
          <w:i/>
          <w:sz w:val="20"/>
          <w:szCs w:val="20"/>
          <w:lang w:val="nl-NL"/>
        </w:rPr>
        <w:t>op. cit.</w:t>
      </w:r>
      <w:r w:rsidRPr="00CD7B80">
        <w:rPr>
          <w:sz w:val="20"/>
          <w:szCs w:val="20"/>
          <w:lang w:val="nl-NL"/>
        </w:rPr>
        <w:t xml:space="preserve">, p. 393 : « Au contraire, dans un système de nullités virtuelles, les juges </w:t>
      </w:r>
      <w:r w:rsidRPr="00DB5277">
        <w:rPr>
          <w:i/>
          <w:sz w:val="20"/>
          <w:szCs w:val="20"/>
          <w:lang w:val="nl-NL"/>
        </w:rPr>
        <w:t>peuvent</w:t>
      </w:r>
      <w:r w:rsidRPr="00CD7B80">
        <w:rPr>
          <w:sz w:val="20"/>
          <w:szCs w:val="20"/>
          <w:lang w:val="nl-NL"/>
        </w:rPr>
        <w:t xml:space="preserve"> annuler un acte même sans texte exprès en ce sens. En droit des contrats, des dispositions comme l’article 6 du Code civil sont </w:t>
      </w:r>
      <w:r w:rsidRPr="00DB5277">
        <w:rPr>
          <w:i/>
          <w:sz w:val="20"/>
          <w:szCs w:val="20"/>
          <w:lang w:val="nl-NL"/>
        </w:rPr>
        <w:t>si larges</w:t>
      </w:r>
      <w:r w:rsidRPr="00CD7B80">
        <w:rPr>
          <w:sz w:val="20"/>
          <w:szCs w:val="20"/>
          <w:lang w:val="nl-NL"/>
        </w:rPr>
        <w:t xml:space="preserve"> qu’elles </w:t>
      </w:r>
      <w:r w:rsidRPr="00CD7B80">
        <w:rPr>
          <w:i/>
          <w:sz w:val="20"/>
          <w:szCs w:val="20"/>
          <w:lang w:val="nl-NL"/>
        </w:rPr>
        <w:t>permettent</w:t>
      </w:r>
      <w:r w:rsidRPr="00CD7B80">
        <w:rPr>
          <w:sz w:val="20"/>
          <w:szCs w:val="20"/>
          <w:lang w:val="nl-NL"/>
        </w:rPr>
        <w:t xml:space="preserve"> aux juges de prononcer la nullité d’un contrat même sans texte spécifique. Les juges ne sont </w:t>
      </w:r>
      <w:r w:rsidRPr="00DB5277">
        <w:rPr>
          <w:i/>
          <w:sz w:val="20"/>
          <w:szCs w:val="20"/>
          <w:lang w:val="nl-NL"/>
        </w:rPr>
        <w:t>à l’inverse liés</w:t>
      </w:r>
      <w:r w:rsidRPr="00CD7B80">
        <w:rPr>
          <w:sz w:val="20"/>
          <w:szCs w:val="20"/>
          <w:lang w:val="nl-NL"/>
        </w:rPr>
        <w:t xml:space="preserve"> que si un texte spécial prévoit expressément la nullité du contrat conclu en contravention de certaines dispositions (…) </w:t>
      </w:r>
      <w:r w:rsidRPr="00CD7B80">
        <w:rPr>
          <w:sz w:val="20"/>
          <w:szCs w:val="20"/>
        </w:rPr>
        <w:t>» (</w:t>
      </w:r>
      <w:r w:rsidRPr="00CD7B80">
        <w:rPr>
          <w:sz w:val="20"/>
          <w:szCs w:val="20"/>
          <w:lang w:val="nl-NL"/>
        </w:rPr>
        <w:t>nous soulignons)</w:t>
      </w:r>
      <w:r w:rsidRPr="00CD7B80">
        <w:rPr>
          <w:sz w:val="20"/>
          <w:szCs w:val="20"/>
        </w:rPr>
        <w:t xml:space="preserve">. </w:t>
      </w:r>
      <w:r w:rsidRPr="00CD7B80">
        <w:rPr>
          <w:sz w:val="20"/>
          <w:szCs w:val="20"/>
          <w:lang w:val="nl-NL"/>
        </w:rPr>
        <w:t xml:space="preserve">Voy. également J. </w:t>
      </w:r>
      <w:r w:rsidRPr="00CD7B80">
        <w:rPr>
          <w:smallCaps/>
          <w:sz w:val="20"/>
          <w:szCs w:val="20"/>
          <w:lang w:val="nl-NL"/>
        </w:rPr>
        <w:t>Hansenne</w:t>
      </w:r>
      <w:r w:rsidRPr="00CD7B80">
        <w:rPr>
          <w:sz w:val="20"/>
          <w:szCs w:val="20"/>
          <w:lang w:val="nl-NL"/>
        </w:rPr>
        <w:t xml:space="preserve">, </w:t>
      </w:r>
      <w:r w:rsidRPr="00CD7B80">
        <w:rPr>
          <w:i/>
          <w:sz w:val="20"/>
          <w:szCs w:val="20"/>
          <w:lang w:val="nl-NL"/>
        </w:rPr>
        <w:t>Introduction au droit privé</w:t>
      </w:r>
      <w:r w:rsidRPr="00CD7B80">
        <w:rPr>
          <w:sz w:val="20"/>
          <w:szCs w:val="20"/>
          <w:lang w:val="nl-NL"/>
        </w:rPr>
        <w:t xml:space="preserve">, </w:t>
      </w:r>
      <w:r>
        <w:rPr>
          <w:i/>
          <w:sz w:val="20"/>
          <w:szCs w:val="20"/>
          <w:lang w:val="nl-NL"/>
        </w:rPr>
        <w:t>op. cit.</w:t>
      </w:r>
      <w:r w:rsidRPr="00CD7B80">
        <w:rPr>
          <w:sz w:val="20"/>
          <w:szCs w:val="20"/>
          <w:lang w:val="nl-NL"/>
        </w:rPr>
        <w:t xml:space="preserve">, pp. 341-342 qui estime que le pouvoir du juge d’apprécier si l’importance de la règle mérite la sanction de la nullité ne dépend pas du </w:t>
      </w:r>
      <w:r w:rsidRPr="00CD7B80">
        <w:rPr>
          <w:sz w:val="20"/>
          <w:szCs w:val="20"/>
        </w:rPr>
        <w:t>«</w:t>
      </w:r>
      <w:r>
        <w:rPr>
          <w:sz w:val="20"/>
          <w:szCs w:val="20"/>
        </w:rPr>
        <w:t xml:space="preserve"> </w:t>
      </w:r>
      <w:r w:rsidRPr="00CD7B80">
        <w:rPr>
          <w:sz w:val="20"/>
          <w:szCs w:val="20"/>
          <w:lang w:val="nl-NL"/>
        </w:rPr>
        <w:t>caractère absolu ou relatif de la nullité</w:t>
      </w:r>
      <w:r w:rsidRPr="00CD7B80">
        <w:rPr>
          <w:sz w:val="20"/>
          <w:szCs w:val="20"/>
        </w:rPr>
        <w:t> »</w:t>
      </w:r>
      <w:r w:rsidRPr="00CD7B80">
        <w:rPr>
          <w:sz w:val="20"/>
          <w:szCs w:val="20"/>
          <w:lang w:val="nl-NL"/>
        </w:rPr>
        <w:t>.</w:t>
      </w:r>
    </w:p>
  </w:footnote>
  <w:footnote w:id="138">
    <w:p w14:paraId="65062536" w14:textId="78A8FFB8"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 xml:space="preserve">A. </w:t>
      </w:r>
      <w:r w:rsidRPr="00CD7B80">
        <w:rPr>
          <w:smallCaps/>
          <w:sz w:val="20"/>
          <w:szCs w:val="20"/>
          <w:lang w:val="nl-NL"/>
        </w:rPr>
        <w:t>Posez</w:t>
      </w:r>
      <w:r w:rsidRPr="00CD7B80">
        <w:rPr>
          <w:sz w:val="20"/>
          <w:szCs w:val="20"/>
          <w:lang w:val="nl-NL"/>
        </w:rPr>
        <w:t xml:space="preserve">, </w:t>
      </w:r>
      <w:r w:rsidRPr="00CD7B80">
        <w:rPr>
          <w:sz w:val="20"/>
          <w:szCs w:val="20"/>
        </w:rPr>
        <w:t xml:space="preserve">« La théorie des nullités. Le centenaire d’une mystification », </w:t>
      </w:r>
      <w:r w:rsidRPr="00CD7B80">
        <w:rPr>
          <w:i/>
          <w:sz w:val="20"/>
          <w:szCs w:val="20"/>
          <w:lang w:val="nl-NL"/>
        </w:rPr>
        <w:t>op. cit.</w:t>
      </w:r>
      <w:r w:rsidRPr="00CD7B80">
        <w:rPr>
          <w:sz w:val="20"/>
          <w:szCs w:val="20"/>
        </w:rPr>
        <w:t xml:space="preserve">, p. 667 ; </w:t>
      </w:r>
      <w:r w:rsidRPr="00CD7B80">
        <w:rPr>
          <w:sz w:val="20"/>
          <w:szCs w:val="20"/>
          <w:lang w:val="nl-NL"/>
        </w:rPr>
        <w:t xml:space="preserve">V. </w:t>
      </w:r>
      <w:r w:rsidRPr="00CD7B80">
        <w:rPr>
          <w:smallCaps/>
          <w:sz w:val="20"/>
          <w:szCs w:val="20"/>
          <w:lang w:val="nl-NL"/>
        </w:rPr>
        <w:t>Bastiaen</w:t>
      </w:r>
      <w:r w:rsidRPr="00CD7B80">
        <w:rPr>
          <w:sz w:val="20"/>
          <w:szCs w:val="20"/>
          <w:lang w:val="nl-NL"/>
        </w:rPr>
        <w:t xml:space="preserve"> et G. </w:t>
      </w:r>
      <w:r w:rsidRPr="00CD7B80">
        <w:rPr>
          <w:smallCaps/>
          <w:sz w:val="20"/>
          <w:szCs w:val="20"/>
          <w:lang w:val="nl-NL"/>
        </w:rPr>
        <w:t>Thoreau</w:t>
      </w:r>
      <w:r w:rsidRPr="00CD7B80">
        <w:rPr>
          <w:sz w:val="20"/>
          <w:szCs w:val="20"/>
          <w:lang w:val="nl-NL"/>
        </w:rPr>
        <w:t xml:space="preserve">, </w:t>
      </w:r>
      <w:r w:rsidRPr="00CD7B80">
        <w:rPr>
          <w:sz w:val="20"/>
          <w:szCs w:val="20"/>
        </w:rPr>
        <w:t xml:space="preserve">« </w:t>
      </w:r>
      <w:r w:rsidRPr="00CD7B80">
        <w:rPr>
          <w:sz w:val="20"/>
          <w:szCs w:val="20"/>
          <w:lang w:val="nl-NL"/>
        </w:rPr>
        <w:t>Les nullités en droit civil</w:t>
      </w:r>
      <w:r w:rsidRPr="00CD7B80">
        <w:rPr>
          <w:sz w:val="20"/>
          <w:szCs w:val="20"/>
        </w:rPr>
        <w:t xml:space="preserve"> »</w:t>
      </w:r>
      <w:r w:rsidRPr="00CD7B80">
        <w:rPr>
          <w:sz w:val="20"/>
          <w:szCs w:val="20"/>
          <w:lang w:val="nl-NL"/>
        </w:rPr>
        <w:t xml:space="preserve">, </w:t>
      </w:r>
      <w:r w:rsidRPr="00CD7B80">
        <w:rPr>
          <w:i/>
          <w:sz w:val="20"/>
          <w:szCs w:val="20"/>
          <w:lang w:val="nl-NL"/>
        </w:rPr>
        <w:t>op. cit.</w:t>
      </w:r>
      <w:r w:rsidRPr="00CD7B80">
        <w:rPr>
          <w:sz w:val="20"/>
          <w:szCs w:val="20"/>
          <w:lang w:val="nl-NL"/>
        </w:rPr>
        <w:t xml:space="preserve">, p. 78. </w:t>
      </w:r>
    </w:p>
  </w:footnote>
  <w:footnote w:id="139">
    <w:p w14:paraId="7937F5F7" w14:textId="281795C3" w:rsidR="002658C8" w:rsidRPr="00CD7B80" w:rsidRDefault="002658C8" w:rsidP="00CA177F">
      <w:pPr>
        <w:pStyle w:val="Notedebasdepage"/>
        <w:jc w:val="both"/>
        <w:rPr>
          <w:rFonts w:eastAsia="Times New Roman"/>
          <w:sz w:val="20"/>
          <w:szCs w:val="20"/>
        </w:rPr>
      </w:pPr>
      <w:r w:rsidRPr="00CD7B80">
        <w:rPr>
          <w:rStyle w:val="Marquenotebasdepage"/>
          <w:sz w:val="20"/>
          <w:szCs w:val="20"/>
        </w:rPr>
        <w:footnoteRef/>
      </w:r>
      <w:r w:rsidRPr="00CD7B80">
        <w:rPr>
          <w:sz w:val="20"/>
          <w:szCs w:val="20"/>
        </w:rPr>
        <w:t xml:space="preserve"> </w:t>
      </w:r>
      <w:r w:rsidRPr="00CD7B80">
        <w:rPr>
          <w:rFonts w:eastAsia="Times New Roman"/>
          <w:sz w:val="20"/>
          <w:szCs w:val="20"/>
        </w:rPr>
        <w:t xml:space="preserve">Voy. notamment les articles 4 de la loi du 27 juin 1969 relative à la sécurité sociale des travailleurs et 14 de la loi du 3 juillet 1978 sur le contrat de travail qui interdisent, dans certaines circonstances, aux employeurs de se prévaloir de la nullité (même absolue) du contrat de travail. </w:t>
      </w:r>
    </w:p>
  </w:footnote>
  <w:footnote w:id="140">
    <w:p w14:paraId="21BC4ADD" w14:textId="330FC6AA"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 xml:space="preserve">Voy. les articles 20 et 22 de la loi précitée du 17 juin 2013 (ci-avant, note 48). </w:t>
      </w:r>
    </w:p>
  </w:footnote>
  <w:footnote w:id="141">
    <w:p w14:paraId="1B47E212" w14:textId="76860489"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En ce qui concerne ces alternatives à la nullité, voy. ci-après la contribution de J.-Fr. Germain et Y. Ninane.</w:t>
      </w:r>
    </w:p>
  </w:footnote>
  <w:footnote w:id="142">
    <w:p w14:paraId="38D82EBE" w14:textId="71E15F8B"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Voy. ci-avant</w:t>
      </w:r>
      <w:r>
        <w:rPr>
          <w:sz w:val="20"/>
          <w:szCs w:val="20"/>
          <w:lang w:val="nl-NL"/>
        </w:rPr>
        <w:t>, §14</w:t>
      </w:r>
      <w:r w:rsidRPr="00CD7B80">
        <w:rPr>
          <w:sz w:val="20"/>
          <w:szCs w:val="20"/>
          <w:lang w:val="nl-NL"/>
        </w:rPr>
        <w:t>.</w:t>
      </w:r>
    </w:p>
  </w:footnote>
  <w:footnote w:id="143">
    <w:p w14:paraId="4084170D" w14:textId="7C67FFD0"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 xml:space="preserve">Nous avons, </w:t>
      </w:r>
      <w:r>
        <w:rPr>
          <w:sz w:val="20"/>
          <w:szCs w:val="20"/>
          <w:lang w:val="nl-NL"/>
        </w:rPr>
        <w:t>récemment</w:t>
      </w:r>
      <w:r w:rsidRPr="00CD7B80">
        <w:rPr>
          <w:sz w:val="20"/>
          <w:szCs w:val="20"/>
          <w:lang w:val="nl-NL"/>
        </w:rPr>
        <w:t>, plaidé pour la consécration d’un principe général de confiance légitime en droit des obligations contractuelles (</w:t>
      </w:r>
      <w:r w:rsidRPr="00CD7B80">
        <w:rPr>
          <w:sz w:val="20"/>
          <w:szCs w:val="20"/>
        </w:rPr>
        <w:t xml:space="preserve">« </w:t>
      </w:r>
      <w:r w:rsidRPr="00CD7B80">
        <w:rPr>
          <w:sz w:val="20"/>
          <w:szCs w:val="20"/>
          <w:lang w:val="nl-NL"/>
        </w:rPr>
        <w:t>Relation et confiance légitime ou la face cachée du contrat</w:t>
      </w:r>
      <w:r w:rsidRPr="00CD7B80">
        <w:rPr>
          <w:sz w:val="20"/>
          <w:szCs w:val="20"/>
        </w:rPr>
        <w:t xml:space="preserve"> », </w:t>
      </w:r>
      <w:r w:rsidRPr="00CD7B80">
        <w:rPr>
          <w:i/>
          <w:sz w:val="20"/>
          <w:szCs w:val="20"/>
        </w:rPr>
        <w:t>R.I.E.J</w:t>
      </w:r>
      <w:r w:rsidRPr="00CD7B80">
        <w:rPr>
          <w:sz w:val="20"/>
          <w:szCs w:val="20"/>
        </w:rPr>
        <w:t>., 2016, vol. 76, pp. 97-118).</w:t>
      </w:r>
    </w:p>
  </w:footnote>
  <w:footnote w:id="144">
    <w:p w14:paraId="127CF6B9" w14:textId="34A49B1F"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Voy. les articles 1110, 1111, 1113 et 1116 du Code civil.</w:t>
      </w:r>
    </w:p>
  </w:footnote>
  <w:footnote w:id="145">
    <w:p w14:paraId="6ED9F5F7" w14:textId="327B8869" w:rsidR="002658C8" w:rsidRPr="00CD7B80" w:rsidRDefault="002658C8" w:rsidP="00DB5277">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Pr>
          <w:sz w:val="20"/>
          <w:szCs w:val="20"/>
        </w:rPr>
        <w:t>Observons que les termes utilisés évoquent la sanction de l’inefficacité que F. Peeraer et S. Stijns appellent de leurs vœux dans leur contribution (sans viser, il est vrai, cette disposition).</w:t>
      </w:r>
      <w:r w:rsidRPr="00CD7B80">
        <w:rPr>
          <w:sz w:val="20"/>
          <w:szCs w:val="20"/>
          <w:lang w:val="fr-BE"/>
        </w:rPr>
        <w:t xml:space="preserve"> </w:t>
      </w:r>
    </w:p>
  </w:footnote>
  <w:footnote w:id="146">
    <w:p w14:paraId="05BA9C20" w14:textId="5202B52B"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fr-BE"/>
        </w:rPr>
        <w:t xml:space="preserve">O. </w:t>
      </w:r>
      <w:r w:rsidRPr="00CD7B80">
        <w:rPr>
          <w:smallCaps/>
          <w:sz w:val="20"/>
          <w:szCs w:val="20"/>
          <w:lang w:val="fr-BE"/>
        </w:rPr>
        <w:t>Delogne</w:t>
      </w:r>
      <w:r w:rsidRPr="00CD7B80">
        <w:rPr>
          <w:sz w:val="20"/>
          <w:szCs w:val="20"/>
          <w:lang w:val="fr-BE"/>
        </w:rPr>
        <w:t xml:space="preserve">, « Le contrat d'assurance incendie sous le prisme de la théorie de l'objet illicite : jurisprudence récente de la cour de cassation », </w:t>
      </w:r>
      <w:r w:rsidRPr="00CD7B80">
        <w:rPr>
          <w:i/>
          <w:sz w:val="20"/>
          <w:szCs w:val="20"/>
          <w:lang w:val="nl-NL"/>
        </w:rPr>
        <w:t>op. cit.</w:t>
      </w:r>
      <w:r w:rsidRPr="00CD7B80">
        <w:rPr>
          <w:sz w:val="20"/>
          <w:szCs w:val="20"/>
          <w:lang w:val="fr-BE"/>
        </w:rPr>
        <w:t xml:space="preserve">, n°14117 et les références citées ; </w:t>
      </w:r>
      <w:r w:rsidRPr="00CD7B80">
        <w:rPr>
          <w:sz w:val="20"/>
          <w:szCs w:val="20"/>
        </w:rPr>
        <w:t xml:space="preserve">M. </w:t>
      </w:r>
      <w:r w:rsidRPr="00CD7B80">
        <w:rPr>
          <w:smallCaps/>
          <w:sz w:val="20"/>
          <w:szCs w:val="20"/>
        </w:rPr>
        <w:t>Dupont</w:t>
      </w:r>
      <w:r w:rsidRPr="00CD7B80">
        <w:rPr>
          <w:sz w:val="20"/>
          <w:szCs w:val="20"/>
        </w:rPr>
        <w:t xml:space="preserve">, « Nullité absolue et nullité relative », </w:t>
      </w:r>
      <w:r w:rsidRPr="00CD7B80">
        <w:rPr>
          <w:i/>
          <w:sz w:val="20"/>
          <w:szCs w:val="20"/>
          <w:lang w:val="nl-NL"/>
        </w:rPr>
        <w:t>op. cit.</w:t>
      </w:r>
      <w:r w:rsidRPr="00CD7B80">
        <w:rPr>
          <w:sz w:val="20"/>
          <w:szCs w:val="20"/>
        </w:rPr>
        <w:t>, p. 49</w:t>
      </w:r>
      <w:r w:rsidRPr="00CD7B80">
        <w:rPr>
          <w:sz w:val="20"/>
          <w:szCs w:val="20"/>
          <w:lang w:val="fr-BE"/>
        </w:rPr>
        <w:t xml:space="preserve">. </w:t>
      </w:r>
    </w:p>
  </w:footnote>
  <w:footnote w:id="147">
    <w:p w14:paraId="63042B66" w14:textId="77777777"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P. </w:t>
      </w:r>
      <w:r w:rsidRPr="00CD7B80">
        <w:rPr>
          <w:smallCaps/>
          <w:sz w:val="20"/>
          <w:szCs w:val="20"/>
        </w:rPr>
        <w:t>Van Ommeslaghe</w:t>
      </w:r>
      <w:r w:rsidRPr="00CD7B80">
        <w:rPr>
          <w:sz w:val="20"/>
          <w:szCs w:val="20"/>
        </w:rPr>
        <w:t xml:space="preserve">, </w:t>
      </w:r>
      <w:r w:rsidRPr="00CD7B80">
        <w:rPr>
          <w:i/>
          <w:sz w:val="20"/>
          <w:szCs w:val="20"/>
        </w:rPr>
        <w:t>Traité de droit civil belge (De Page)</w:t>
      </w:r>
      <w:r w:rsidRPr="00CD7B80">
        <w:rPr>
          <w:sz w:val="20"/>
          <w:szCs w:val="20"/>
        </w:rPr>
        <w:t xml:space="preserve">, </w:t>
      </w:r>
      <w:r w:rsidRPr="00CD7B80">
        <w:rPr>
          <w:i/>
          <w:sz w:val="20"/>
          <w:szCs w:val="20"/>
          <w:lang w:val="nl-NL"/>
        </w:rPr>
        <w:t>op. cit.</w:t>
      </w:r>
      <w:r w:rsidRPr="00CD7B80">
        <w:rPr>
          <w:sz w:val="20"/>
          <w:szCs w:val="20"/>
        </w:rPr>
        <w:t>, vol. 1, p. 357.</w:t>
      </w:r>
    </w:p>
  </w:footnote>
  <w:footnote w:id="148">
    <w:p w14:paraId="0B6C3DDB" w14:textId="4FED4B9E" w:rsidR="002658C8" w:rsidRPr="00CD7B80" w:rsidRDefault="002658C8" w:rsidP="00CA177F">
      <w:pPr>
        <w:jc w:val="both"/>
        <w:rPr>
          <w:sz w:val="20"/>
          <w:szCs w:val="20"/>
        </w:rPr>
      </w:pPr>
      <w:r w:rsidRPr="00CD7B80">
        <w:rPr>
          <w:rStyle w:val="Marquenotebasdepage"/>
          <w:sz w:val="20"/>
          <w:szCs w:val="20"/>
        </w:rPr>
        <w:footnoteRef/>
      </w:r>
      <w:r w:rsidRPr="00CD7B80">
        <w:rPr>
          <w:sz w:val="20"/>
          <w:szCs w:val="20"/>
        </w:rPr>
        <w:t xml:space="preserve"> Cass., 28 novembre 2013, </w:t>
      </w:r>
      <w:r w:rsidRPr="00CD7B80">
        <w:rPr>
          <w:i/>
          <w:sz w:val="20"/>
          <w:szCs w:val="20"/>
        </w:rPr>
        <w:t>Pas</w:t>
      </w:r>
      <w:r w:rsidRPr="00CD7B80">
        <w:rPr>
          <w:sz w:val="20"/>
          <w:szCs w:val="20"/>
        </w:rPr>
        <w:t>., 2013, I, pp. 2399-2400</w:t>
      </w:r>
      <w:r w:rsidRPr="00CD7B80">
        <w:rPr>
          <w:sz w:val="20"/>
          <w:szCs w:val="20"/>
          <w:lang w:val="fr-BE"/>
        </w:rPr>
        <w:t xml:space="preserve">. Voy. également </w:t>
      </w:r>
      <w:r w:rsidRPr="00CD7B80">
        <w:rPr>
          <w:sz w:val="20"/>
          <w:szCs w:val="20"/>
        </w:rPr>
        <w:t>Cass., 15 février 2016, RG n°C.14.0448.F/16, www. juridat.be.</w:t>
      </w:r>
    </w:p>
  </w:footnote>
  <w:footnote w:id="149">
    <w:p w14:paraId="528DA3EB" w14:textId="77777777"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 xml:space="preserve">F. </w:t>
      </w:r>
      <w:r w:rsidRPr="00CD7B80">
        <w:rPr>
          <w:smallCaps/>
          <w:sz w:val="20"/>
          <w:szCs w:val="20"/>
          <w:lang w:val="nl-NL"/>
        </w:rPr>
        <w:t>Mourlon Beernaert</w:t>
      </w:r>
      <w:r w:rsidRPr="00CD7B80">
        <w:rPr>
          <w:sz w:val="20"/>
          <w:szCs w:val="20"/>
          <w:lang w:val="nl-NL"/>
        </w:rPr>
        <w:t xml:space="preserve">, </w:t>
      </w:r>
      <w:r w:rsidRPr="00CD7B80">
        <w:rPr>
          <w:sz w:val="20"/>
          <w:szCs w:val="20"/>
        </w:rPr>
        <w:t xml:space="preserve">« La théorie de l'objet illicite à la lumière de la théorie (moderne) de la cause », note sous Cass., 8 avril 1999, </w:t>
      </w:r>
      <w:r w:rsidRPr="00CD7B80">
        <w:rPr>
          <w:i/>
          <w:sz w:val="20"/>
          <w:szCs w:val="20"/>
        </w:rPr>
        <w:t>D.A.O.R</w:t>
      </w:r>
      <w:r w:rsidRPr="00CD7B80">
        <w:rPr>
          <w:sz w:val="20"/>
          <w:szCs w:val="20"/>
        </w:rPr>
        <w:t>., 2000, p. 362.</w:t>
      </w:r>
      <w:r w:rsidRPr="00CD7B80">
        <w:rPr>
          <w:sz w:val="20"/>
          <w:szCs w:val="20"/>
          <w:lang w:val="nl-NL"/>
        </w:rPr>
        <w:t xml:space="preserve"> </w:t>
      </w:r>
    </w:p>
  </w:footnote>
  <w:footnote w:id="150">
    <w:p w14:paraId="1ED65267" w14:textId="4A9ADABE"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Cass., 31 janvier 1944, </w:t>
      </w:r>
      <w:r w:rsidRPr="00CD7B80">
        <w:rPr>
          <w:i/>
          <w:sz w:val="20"/>
          <w:szCs w:val="20"/>
        </w:rPr>
        <w:t>Pas</w:t>
      </w:r>
      <w:r w:rsidRPr="00CD7B80">
        <w:rPr>
          <w:sz w:val="20"/>
          <w:szCs w:val="20"/>
        </w:rPr>
        <w:t xml:space="preserve">., 1944, I, p. 178 ; Cass., 3 octobre 1994, </w:t>
      </w:r>
      <w:r w:rsidRPr="00CD7B80">
        <w:rPr>
          <w:i/>
          <w:sz w:val="20"/>
          <w:szCs w:val="20"/>
        </w:rPr>
        <w:t>Pas</w:t>
      </w:r>
      <w:r w:rsidRPr="00CD7B80">
        <w:rPr>
          <w:sz w:val="20"/>
          <w:szCs w:val="20"/>
        </w:rPr>
        <w:t xml:space="preserve">., I, p. 788 ; B. </w:t>
      </w:r>
      <w:r w:rsidRPr="00CD7B80">
        <w:rPr>
          <w:smallCaps/>
          <w:sz w:val="20"/>
          <w:szCs w:val="20"/>
        </w:rPr>
        <w:t>Dubuisson</w:t>
      </w:r>
      <w:r w:rsidRPr="00CD7B80">
        <w:rPr>
          <w:sz w:val="20"/>
          <w:szCs w:val="20"/>
        </w:rPr>
        <w:t xml:space="preserve">, « Faute, illégalité et erreur d’appréciation en droit de la responsabilité civile », obs. sous Cass., 26 juin 1998, </w:t>
      </w:r>
      <w:r w:rsidRPr="00CD7B80">
        <w:rPr>
          <w:i/>
          <w:sz w:val="20"/>
          <w:szCs w:val="20"/>
        </w:rPr>
        <w:t>R.C.J.B</w:t>
      </w:r>
      <w:r w:rsidRPr="00CD7B80">
        <w:rPr>
          <w:sz w:val="20"/>
          <w:szCs w:val="20"/>
        </w:rPr>
        <w:t xml:space="preserve">., 2001, p. 33, n°7 ; Th. </w:t>
      </w:r>
      <w:r w:rsidRPr="00CD7B80">
        <w:rPr>
          <w:smallCaps/>
          <w:sz w:val="20"/>
          <w:szCs w:val="20"/>
        </w:rPr>
        <w:t>Léonard</w:t>
      </w:r>
      <w:r w:rsidRPr="00CD7B80">
        <w:rPr>
          <w:sz w:val="20"/>
          <w:szCs w:val="20"/>
        </w:rPr>
        <w:t xml:space="preserve">, « Faute extra-contractuelle et juridictions commerciales: principes et plaidoyer pour un retour à une vision unitaire de la faute », </w:t>
      </w:r>
      <w:r w:rsidRPr="00CD7B80">
        <w:rPr>
          <w:i/>
          <w:sz w:val="20"/>
          <w:szCs w:val="20"/>
        </w:rPr>
        <w:t>R.D.C</w:t>
      </w:r>
      <w:r w:rsidRPr="00CD7B80">
        <w:rPr>
          <w:sz w:val="20"/>
          <w:szCs w:val="20"/>
        </w:rPr>
        <w:t>., 2013, p. 958.</w:t>
      </w:r>
    </w:p>
  </w:footnote>
  <w:footnote w:id="151">
    <w:p w14:paraId="50BE1132" w14:textId="3913A8E8"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Selon le raisonnement proposé dans le chapitre II.</w:t>
      </w:r>
    </w:p>
  </w:footnote>
  <w:footnote w:id="152">
    <w:p w14:paraId="2F7FEC34" w14:textId="31C688C3" w:rsidR="002658C8" w:rsidRPr="00CD7B80" w:rsidRDefault="002658C8" w:rsidP="00CA177F">
      <w:pPr>
        <w:pStyle w:val="Notedebasdepage"/>
        <w:jc w:val="both"/>
        <w:rPr>
          <w:sz w:val="20"/>
          <w:szCs w:val="20"/>
        </w:rPr>
      </w:pPr>
      <w:r w:rsidRPr="00CD7B80">
        <w:rPr>
          <w:rStyle w:val="Marquenotebasdepage"/>
          <w:sz w:val="20"/>
          <w:szCs w:val="20"/>
        </w:rPr>
        <w:footnoteRef/>
      </w:r>
      <w:r w:rsidRPr="00CD7B80">
        <w:rPr>
          <w:sz w:val="20"/>
          <w:szCs w:val="20"/>
        </w:rPr>
        <w:t xml:space="preserve"> Pour une proposition similaire, mais en ce qui concerne les règles de droit impératif, voy. J. </w:t>
      </w:r>
      <w:r w:rsidRPr="00CD7B80">
        <w:rPr>
          <w:smallCaps/>
          <w:sz w:val="20"/>
          <w:szCs w:val="20"/>
        </w:rPr>
        <w:t>Van Zuylen</w:t>
      </w:r>
      <w:r w:rsidRPr="00CD7B80">
        <w:rPr>
          <w:sz w:val="20"/>
          <w:szCs w:val="20"/>
        </w:rPr>
        <w:t xml:space="preserve">, « L’ordre public et le droit impératif dans les contrats spéciaux », </w:t>
      </w:r>
      <w:r w:rsidRPr="00CD7B80">
        <w:rPr>
          <w:i/>
          <w:sz w:val="20"/>
          <w:szCs w:val="20"/>
          <w:lang w:val="nl-NL"/>
        </w:rPr>
        <w:t>op. cit.</w:t>
      </w:r>
      <w:r w:rsidRPr="00CD7B80">
        <w:rPr>
          <w:sz w:val="20"/>
          <w:szCs w:val="20"/>
        </w:rPr>
        <w:t xml:space="preserve">, p. 129. Sans pouvoir développer ce point </w:t>
      </w:r>
      <w:r>
        <w:rPr>
          <w:sz w:val="20"/>
          <w:szCs w:val="20"/>
        </w:rPr>
        <w:t xml:space="preserve">pourtant </w:t>
      </w:r>
      <w:r w:rsidRPr="00CD7B80">
        <w:rPr>
          <w:sz w:val="20"/>
          <w:szCs w:val="20"/>
        </w:rPr>
        <w:t xml:space="preserve">important, il convient de souligner que plusieurs auteurs, auxquels nous nous rallions, défendent l’idée selon laquelle le juge pourrait, voire devrait (si l’application de ce moyen est commandée par les faits spécialement invoqués par une des parties au soutien de ses prétentions) soulever une cause de nullité relative sauf renonciation expresse ou certaine de la partie protégée à s’en prévaloir (voy. P. </w:t>
      </w:r>
      <w:r w:rsidRPr="00CD7B80">
        <w:rPr>
          <w:smallCaps/>
          <w:sz w:val="20"/>
          <w:szCs w:val="20"/>
        </w:rPr>
        <w:t>Wéry</w:t>
      </w:r>
      <w:r w:rsidRPr="00CD7B80">
        <w:rPr>
          <w:sz w:val="20"/>
          <w:szCs w:val="20"/>
        </w:rPr>
        <w:t xml:space="preserve">, </w:t>
      </w:r>
      <w:r w:rsidRPr="00CD7B80">
        <w:rPr>
          <w:i/>
          <w:sz w:val="20"/>
          <w:szCs w:val="20"/>
        </w:rPr>
        <w:t>Droit des obligations</w:t>
      </w:r>
      <w:r w:rsidRPr="00CD7B80">
        <w:rPr>
          <w:sz w:val="20"/>
          <w:szCs w:val="20"/>
        </w:rPr>
        <w:t>,</w:t>
      </w:r>
      <w:r w:rsidRPr="00CD7B80">
        <w:rPr>
          <w:i/>
          <w:sz w:val="20"/>
          <w:szCs w:val="20"/>
        </w:rPr>
        <w:t xml:space="preserve"> op. cit.</w:t>
      </w:r>
      <w:r w:rsidRPr="00CD7B80">
        <w:rPr>
          <w:sz w:val="20"/>
          <w:szCs w:val="20"/>
        </w:rPr>
        <w:t xml:space="preserve">, vol. 1, </w:t>
      </w:r>
      <w:r w:rsidRPr="00CD7B80">
        <w:rPr>
          <w:sz w:val="20"/>
          <w:szCs w:val="20"/>
          <w:lang w:val="fr-BE"/>
        </w:rPr>
        <w:t xml:space="preserve">p. 320 et les références citées ; R. </w:t>
      </w:r>
      <w:r w:rsidRPr="00CD7B80">
        <w:rPr>
          <w:smallCaps/>
          <w:sz w:val="20"/>
          <w:szCs w:val="20"/>
          <w:lang w:val="fr-BE"/>
        </w:rPr>
        <w:t>Hardy</w:t>
      </w:r>
      <w:r w:rsidRPr="00CD7B80">
        <w:rPr>
          <w:sz w:val="20"/>
          <w:szCs w:val="20"/>
          <w:lang w:val="fr-BE"/>
        </w:rPr>
        <w:t xml:space="preserve">, « Le juge doit-il soulever d’office la nullité relative d’un contrat, d’une clause contractuelle ou d’un acte ? », </w:t>
      </w:r>
      <w:r w:rsidRPr="00CD7B80">
        <w:rPr>
          <w:i/>
          <w:sz w:val="20"/>
          <w:szCs w:val="20"/>
          <w:lang w:val="fr-BE"/>
        </w:rPr>
        <w:t>op. cit.</w:t>
      </w:r>
      <w:r w:rsidRPr="00CD7B80">
        <w:rPr>
          <w:sz w:val="20"/>
          <w:szCs w:val="20"/>
          <w:lang w:val="fr-BE"/>
        </w:rPr>
        <w:t xml:space="preserve">, p. 601). Tel est déjà certainement le cas dans le domaine de la protection des consommateurs à la suite de la jurisprudence de la Cour de justice de l’Union européenne. </w:t>
      </w:r>
    </w:p>
  </w:footnote>
  <w:footnote w:id="153">
    <w:p w14:paraId="521AEE01" w14:textId="68455691"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Pour une analyse plus approfondie des éléments auxquels le juge doit avoir égard, voy. la contribution de F. Peeraer et de S. Stijns ci-après</w:t>
      </w:r>
      <w:r>
        <w:rPr>
          <w:sz w:val="20"/>
          <w:szCs w:val="20"/>
          <w:lang w:val="nl-NL"/>
        </w:rPr>
        <w:t xml:space="preserve"> (§§14-18)</w:t>
      </w:r>
      <w:r w:rsidRPr="00CD7B80">
        <w:rPr>
          <w:sz w:val="20"/>
          <w:szCs w:val="20"/>
          <w:lang w:val="nl-NL"/>
        </w:rPr>
        <w:t>. La volonté des parties de renoncer à se prévaloir de la nullité pourrait également être prise en considération, même si on enseigne traditionnellement que la nullité absolue ne peut être confirmée.</w:t>
      </w:r>
    </w:p>
  </w:footnote>
  <w:footnote w:id="154">
    <w:p w14:paraId="5B5BA26D" w14:textId="77777777"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 xml:space="preserve">R. </w:t>
      </w:r>
      <w:r w:rsidRPr="00CD7B80">
        <w:rPr>
          <w:smallCaps/>
          <w:sz w:val="20"/>
          <w:szCs w:val="20"/>
          <w:lang w:val="nl-NL"/>
        </w:rPr>
        <w:t>Japiot</w:t>
      </w:r>
      <w:r w:rsidRPr="00CD7B80">
        <w:rPr>
          <w:sz w:val="20"/>
          <w:szCs w:val="20"/>
          <w:lang w:val="nl-NL"/>
        </w:rPr>
        <w:t xml:space="preserve">, </w:t>
      </w:r>
      <w:r w:rsidRPr="00CD7B80">
        <w:rPr>
          <w:i/>
          <w:sz w:val="20"/>
          <w:szCs w:val="20"/>
          <w:lang w:val="nl-NL"/>
        </w:rPr>
        <w:t>Des nullités en matière d’actes juridiques. Essai d’une théorie nouvelle</w:t>
      </w:r>
      <w:r w:rsidRPr="00CD7B80">
        <w:rPr>
          <w:sz w:val="20"/>
          <w:szCs w:val="20"/>
          <w:lang w:val="nl-NL"/>
        </w:rPr>
        <w:t xml:space="preserve">, </w:t>
      </w:r>
      <w:r w:rsidRPr="00CD7B80">
        <w:rPr>
          <w:i/>
          <w:sz w:val="20"/>
          <w:szCs w:val="20"/>
          <w:lang w:val="nl-NL"/>
        </w:rPr>
        <w:t>op. cit.</w:t>
      </w:r>
      <w:r w:rsidRPr="00CD7B80">
        <w:rPr>
          <w:sz w:val="20"/>
          <w:szCs w:val="20"/>
          <w:lang w:val="nl-NL"/>
        </w:rPr>
        <w:t>, p. 749.</w:t>
      </w:r>
    </w:p>
  </w:footnote>
  <w:footnote w:id="155">
    <w:p w14:paraId="6573266F" w14:textId="214E47E0"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i/>
          <w:sz w:val="20"/>
          <w:szCs w:val="20"/>
          <w:lang w:val="nl-NL"/>
        </w:rPr>
        <w:t>Ibidem</w:t>
      </w:r>
      <w:r w:rsidRPr="00CD7B80">
        <w:rPr>
          <w:sz w:val="20"/>
          <w:szCs w:val="20"/>
          <w:lang w:val="nl-NL"/>
        </w:rPr>
        <w:t xml:space="preserve">, pp. 760-763. Il est vrai qu’on s’éloigne ici de la règle énoncée par Caton : « Ce qui est nul dans son principe ne peut devenir valable par le laps de temps » (J.-B. </w:t>
      </w:r>
      <w:r w:rsidRPr="00CD7B80">
        <w:rPr>
          <w:smallCaps/>
          <w:sz w:val="20"/>
          <w:szCs w:val="20"/>
          <w:lang w:val="nl-NL"/>
        </w:rPr>
        <w:t>Perrin</w:t>
      </w:r>
      <w:r w:rsidRPr="00CD7B80">
        <w:rPr>
          <w:sz w:val="20"/>
          <w:szCs w:val="20"/>
          <w:lang w:val="nl-NL"/>
        </w:rPr>
        <w:t xml:space="preserve">, </w:t>
      </w:r>
      <w:r w:rsidRPr="00CD7B80">
        <w:rPr>
          <w:i/>
          <w:sz w:val="20"/>
          <w:szCs w:val="20"/>
          <w:lang w:val="nl-NL"/>
        </w:rPr>
        <w:t>Traité des nullités de droit, en matière civile</w:t>
      </w:r>
      <w:r w:rsidRPr="00CD7B80">
        <w:rPr>
          <w:sz w:val="20"/>
          <w:szCs w:val="20"/>
          <w:lang w:val="nl-NL"/>
        </w:rPr>
        <w:t xml:space="preserve">, </w:t>
      </w:r>
      <w:r w:rsidRPr="00CD7B80">
        <w:rPr>
          <w:i/>
          <w:sz w:val="20"/>
          <w:szCs w:val="20"/>
          <w:lang w:val="nl-NL"/>
        </w:rPr>
        <w:t>op. cit.</w:t>
      </w:r>
      <w:r w:rsidRPr="00CD7B80">
        <w:rPr>
          <w:sz w:val="20"/>
          <w:szCs w:val="20"/>
          <w:lang w:val="nl-NL"/>
        </w:rPr>
        <w:t>, p. 145 : « Les infractions à l'ordre public étant fort dangereuses et laissant toujours des traces, on n'a pas dû laisser au temps seul la puissance de couvrir le vice »).</w:t>
      </w:r>
    </w:p>
  </w:footnote>
  <w:footnote w:id="156">
    <w:p w14:paraId="1F17FBDD" w14:textId="77777777"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 xml:space="preserve">V. </w:t>
      </w:r>
      <w:r w:rsidRPr="00CD7B80">
        <w:rPr>
          <w:smallCaps/>
          <w:sz w:val="20"/>
          <w:szCs w:val="20"/>
          <w:lang w:val="nl-NL"/>
        </w:rPr>
        <w:t>Bastiaen</w:t>
      </w:r>
      <w:r w:rsidRPr="00CD7B80">
        <w:rPr>
          <w:sz w:val="20"/>
          <w:szCs w:val="20"/>
          <w:lang w:val="nl-NL"/>
        </w:rPr>
        <w:tab/>
        <w:t xml:space="preserve">et G. </w:t>
      </w:r>
      <w:r w:rsidRPr="00CD7B80">
        <w:rPr>
          <w:smallCaps/>
          <w:sz w:val="20"/>
          <w:szCs w:val="20"/>
          <w:lang w:val="nl-NL"/>
        </w:rPr>
        <w:t>Thoreau</w:t>
      </w:r>
      <w:r w:rsidRPr="00CD7B80">
        <w:rPr>
          <w:sz w:val="20"/>
          <w:szCs w:val="20"/>
          <w:lang w:val="nl-NL"/>
        </w:rPr>
        <w:t xml:space="preserve">, </w:t>
      </w:r>
      <w:r w:rsidRPr="00CD7B80">
        <w:rPr>
          <w:sz w:val="20"/>
          <w:szCs w:val="20"/>
        </w:rPr>
        <w:t xml:space="preserve">« </w:t>
      </w:r>
      <w:r w:rsidRPr="00CD7B80">
        <w:rPr>
          <w:sz w:val="20"/>
          <w:szCs w:val="20"/>
          <w:lang w:val="nl-NL"/>
        </w:rPr>
        <w:t>Les nullités en droit civil</w:t>
      </w:r>
      <w:r w:rsidRPr="00CD7B80">
        <w:rPr>
          <w:sz w:val="20"/>
          <w:szCs w:val="20"/>
        </w:rPr>
        <w:t xml:space="preserve"> »</w:t>
      </w:r>
      <w:r w:rsidRPr="00CD7B80">
        <w:rPr>
          <w:sz w:val="20"/>
          <w:szCs w:val="20"/>
          <w:lang w:val="nl-NL"/>
        </w:rPr>
        <w:t xml:space="preserve">, </w:t>
      </w:r>
      <w:r w:rsidRPr="00CD7B80">
        <w:rPr>
          <w:i/>
          <w:sz w:val="20"/>
          <w:szCs w:val="20"/>
          <w:lang w:val="nl-NL"/>
        </w:rPr>
        <w:t>op. cit.</w:t>
      </w:r>
      <w:r w:rsidRPr="00CD7B80">
        <w:rPr>
          <w:sz w:val="20"/>
          <w:szCs w:val="20"/>
          <w:lang w:val="nl-NL"/>
        </w:rPr>
        <w:t>, p. 89 et les références citées. Dans leur ouvrage sur la formation du contrat, J. Ghestin, G. Loiseau et Y.-M. Serinet rappellent la thèse de René Japiot mais hésitent toutefois à s’y rallier (</w:t>
      </w:r>
      <w:r w:rsidRPr="00CD7B80">
        <w:rPr>
          <w:i/>
          <w:sz w:val="20"/>
          <w:szCs w:val="20"/>
          <w:lang w:val="nl-NL"/>
        </w:rPr>
        <w:t>La formation du contrat,</w:t>
      </w:r>
      <w:r w:rsidRPr="00CD7B80">
        <w:rPr>
          <w:sz w:val="20"/>
          <w:szCs w:val="20"/>
          <w:lang w:val="nl-NL"/>
        </w:rPr>
        <w:t xml:space="preserve"> t. 2, Paris, L.G.D.J ., 2013, 4ème éd., p. 1158 et s.). </w:t>
      </w:r>
    </w:p>
  </w:footnote>
  <w:footnote w:id="157">
    <w:p w14:paraId="762616A3" w14:textId="77777777"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R. </w:t>
      </w:r>
      <w:r w:rsidRPr="00CD7B80">
        <w:rPr>
          <w:smallCaps/>
          <w:sz w:val="20"/>
          <w:szCs w:val="20"/>
        </w:rPr>
        <w:t>Jafferali</w:t>
      </w:r>
      <w:r w:rsidRPr="00CD7B80">
        <w:rPr>
          <w:sz w:val="20"/>
          <w:szCs w:val="20"/>
        </w:rPr>
        <w:t xml:space="preserve">, </w:t>
      </w:r>
      <w:r w:rsidRPr="00CD7B80">
        <w:rPr>
          <w:i/>
          <w:sz w:val="20"/>
          <w:szCs w:val="20"/>
        </w:rPr>
        <w:t>La rétroactivité dans le contrat. Etude d’une notion fonctionnelle à la lumière du principe constitutionnel d’égalité</w:t>
      </w:r>
      <w:r w:rsidRPr="00CD7B80">
        <w:rPr>
          <w:sz w:val="20"/>
          <w:szCs w:val="20"/>
        </w:rPr>
        <w:t xml:space="preserve">, </w:t>
      </w:r>
      <w:r w:rsidRPr="00CD7B80">
        <w:rPr>
          <w:i/>
          <w:sz w:val="20"/>
          <w:szCs w:val="20"/>
          <w:lang w:val="nl-NL"/>
        </w:rPr>
        <w:t>op. cit.</w:t>
      </w:r>
      <w:r w:rsidRPr="00CD7B80">
        <w:rPr>
          <w:sz w:val="20"/>
          <w:szCs w:val="20"/>
        </w:rPr>
        <w:t xml:space="preserve">, p. 170 et les références citées. </w:t>
      </w:r>
    </w:p>
  </w:footnote>
  <w:footnote w:id="158">
    <w:p w14:paraId="64BE3EB7" w14:textId="5DB4E877" w:rsidR="002658C8" w:rsidRPr="00CD7B80" w:rsidRDefault="002658C8" w:rsidP="00CA177F">
      <w:pPr>
        <w:pStyle w:val="Notedebasdepage"/>
        <w:jc w:val="both"/>
        <w:rPr>
          <w:sz w:val="20"/>
          <w:szCs w:val="20"/>
        </w:rPr>
      </w:pPr>
      <w:r w:rsidRPr="00CD7B80">
        <w:rPr>
          <w:rStyle w:val="Marquenotebasdepage"/>
          <w:sz w:val="20"/>
          <w:szCs w:val="20"/>
        </w:rPr>
        <w:footnoteRef/>
      </w:r>
      <w:r w:rsidRPr="00CD7B80">
        <w:rPr>
          <w:sz w:val="20"/>
          <w:szCs w:val="20"/>
        </w:rPr>
        <w:t xml:space="preserve"> Liège, 12 mai 2009, attaqué mais sans succès devant la Cour de cassation (Cass. (1</w:t>
      </w:r>
      <w:r w:rsidRPr="00CD7B80">
        <w:rPr>
          <w:sz w:val="20"/>
          <w:szCs w:val="20"/>
          <w:vertAlign w:val="superscript"/>
        </w:rPr>
        <w:t>re</w:t>
      </w:r>
      <w:r w:rsidRPr="00CD7B80">
        <w:rPr>
          <w:sz w:val="20"/>
          <w:szCs w:val="20"/>
        </w:rPr>
        <w:t xml:space="preserve"> ch.), 24 février 2011, </w:t>
      </w:r>
      <w:r w:rsidRPr="00CD7B80">
        <w:rPr>
          <w:i/>
          <w:sz w:val="20"/>
          <w:szCs w:val="20"/>
        </w:rPr>
        <w:t>R.C.J.B.</w:t>
      </w:r>
      <w:r w:rsidRPr="00CD7B80">
        <w:rPr>
          <w:sz w:val="20"/>
          <w:szCs w:val="20"/>
        </w:rPr>
        <w:t>, 2014, p. 5</w:t>
      </w:r>
      <w:r w:rsidRPr="00CD7B80">
        <w:rPr>
          <w:sz w:val="20"/>
          <w:szCs w:val="20"/>
          <w:lang w:val="nl-NL"/>
        </w:rPr>
        <w:t>).</w:t>
      </w:r>
    </w:p>
  </w:footnote>
  <w:footnote w:id="159">
    <w:p w14:paraId="777E3727" w14:textId="410B4DEB" w:rsidR="002658C8" w:rsidRPr="00CD7B80" w:rsidRDefault="002658C8" w:rsidP="00CA177F">
      <w:pPr>
        <w:pStyle w:val="Notedebasdepage"/>
        <w:jc w:val="both"/>
        <w:rPr>
          <w:rFonts w:eastAsia="Times New Roman"/>
          <w:sz w:val="20"/>
          <w:szCs w:val="20"/>
        </w:rPr>
      </w:pPr>
      <w:r w:rsidRPr="00CD7B80">
        <w:rPr>
          <w:rStyle w:val="Marquenotebasdepage"/>
          <w:sz w:val="20"/>
          <w:szCs w:val="20"/>
        </w:rPr>
        <w:footnoteRef/>
      </w:r>
      <w:r w:rsidRPr="00CD7B80">
        <w:rPr>
          <w:sz w:val="20"/>
          <w:szCs w:val="20"/>
        </w:rPr>
        <w:t xml:space="preserve"> Voy. notamment </w:t>
      </w:r>
      <w:r w:rsidRPr="00CD7B80">
        <w:rPr>
          <w:rFonts w:eastAsia="Times New Roman"/>
          <w:sz w:val="20"/>
          <w:szCs w:val="20"/>
        </w:rPr>
        <w:t xml:space="preserve">K. </w:t>
      </w:r>
      <w:r w:rsidRPr="00CD7B80">
        <w:rPr>
          <w:rFonts w:eastAsia="Times New Roman"/>
          <w:smallCaps/>
          <w:sz w:val="20"/>
          <w:szCs w:val="20"/>
        </w:rPr>
        <w:t>Wauters</w:t>
      </w:r>
      <w:r w:rsidRPr="00CD7B80">
        <w:rPr>
          <w:rFonts w:eastAsia="Times New Roman"/>
          <w:sz w:val="20"/>
          <w:szCs w:val="20"/>
        </w:rPr>
        <w:t xml:space="preserve"> et Th. </w:t>
      </w:r>
      <w:r w:rsidRPr="00CD7B80">
        <w:rPr>
          <w:rFonts w:eastAsia="Times New Roman"/>
          <w:smallCaps/>
          <w:sz w:val="20"/>
          <w:szCs w:val="20"/>
        </w:rPr>
        <w:t>Cambier</w:t>
      </w:r>
      <w:r w:rsidRPr="00CD7B80">
        <w:rPr>
          <w:rFonts w:eastAsia="Times New Roman"/>
          <w:sz w:val="20"/>
          <w:szCs w:val="20"/>
        </w:rPr>
        <w:t xml:space="preserve">, « Illégalité de l’acte détachable : quels sont les effets une fois le contrat conclu ? », </w:t>
      </w:r>
      <w:r w:rsidRPr="00CD7B80">
        <w:rPr>
          <w:rFonts w:eastAsia="Times New Roman"/>
          <w:i/>
          <w:sz w:val="20"/>
          <w:szCs w:val="20"/>
        </w:rPr>
        <w:t>op. cit.</w:t>
      </w:r>
      <w:r w:rsidRPr="00CD7B80">
        <w:rPr>
          <w:rFonts w:eastAsia="Times New Roman"/>
          <w:sz w:val="20"/>
          <w:szCs w:val="20"/>
        </w:rPr>
        <w:t>, p. 618 : « L’éventuelle balance d’intérêts entre les exigences du service public et l’annulation du contrat devrait s’inscrire dans le cadre de la théorie civile des nullités ».</w:t>
      </w:r>
    </w:p>
  </w:footnote>
  <w:footnote w:id="160">
    <w:p w14:paraId="28C6CA8C" w14:textId="14924F09"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w:t>
      </w:r>
      <w:r w:rsidRPr="00CD7B80">
        <w:rPr>
          <w:sz w:val="20"/>
          <w:szCs w:val="20"/>
          <w:lang w:val="nl-NL"/>
        </w:rPr>
        <w:t>Voy. ci-avant</w:t>
      </w:r>
      <w:r>
        <w:rPr>
          <w:sz w:val="20"/>
          <w:szCs w:val="20"/>
          <w:lang w:val="nl-NL"/>
        </w:rPr>
        <w:t>,</w:t>
      </w:r>
      <w:r w:rsidRPr="00CD7B80">
        <w:rPr>
          <w:sz w:val="20"/>
          <w:szCs w:val="20"/>
          <w:lang w:val="nl-NL"/>
        </w:rPr>
        <w:t xml:space="preserve"> </w:t>
      </w:r>
      <w:r>
        <w:rPr>
          <w:sz w:val="20"/>
          <w:szCs w:val="20"/>
          <w:lang w:val="nl-NL"/>
        </w:rPr>
        <w:t>§13</w:t>
      </w:r>
      <w:r w:rsidRPr="00CD7B80">
        <w:rPr>
          <w:sz w:val="20"/>
          <w:szCs w:val="20"/>
          <w:lang w:val="nl-NL"/>
        </w:rPr>
        <w:t xml:space="preserve">. Il ne s’agit pas d’une nullité </w:t>
      </w:r>
      <w:r w:rsidRPr="00CD7B80">
        <w:rPr>
          <w:i/>
          <w:sz w:val="20"/>
          <w:szCs w:val="20"/>
          <w:lang w:val="nl-NL"/>
        </w:rPr>
        <w:t>stricto sensu</w:t>
      </w:r>
      <w:r w:rsidRPr="00CD7B80">
        <w:rPr>
          <w:sz w:val="20"/>
          <w:szCs w:val="20"/>
          <w:lang w:val="nl-NL"/>
        </w:rPr>
        <w:t xml:space="preserve"> mais d’une déclaration d’absence d’effets qui peut y être assimilée.</w:t>
      </w:r>
    </w:p>
  </w:footnote>
  <w:footnote w:id="161">
    <w:p w14:paraId="73DE764D" w14:textId="44965A6B"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Le problème ne se posera pas en cas de réfection rétroactive d’un acte administratif illégal (sur la question, voy. F. </w:t>
      </w:r>
      <w:r w:rsidRPr="00CD7B80">
        <w:rPr>
          <w:smallCaps/>
          <w:sz w:val="20"/>
          <w:szCs w:val="20"/>
        </w:rPr>
        <w:t>Belleflamme</w:t>
      </w:r>
      <w:r w:rsidRPr="00CD7B80">
        <w:rPr>
          <w:sz w:val="20"/>
          <w:szCs w:val="20"/>
        </w:rPr>
        <w:t xml:space="preserve">, « L’annulation de la décision d’attribution d’un contrat administratif et ses conséquences civiles », </w:t>
      </w:r>
      <w:r w:rsidRPr="00CD7B80">
        <w:rPr>
          <w:i/>
          <w:sz w:val="20"/>
          <w:szCs w:val="20"/>
        </w:rPr>
        <w:t>op. cit.</w:t>
      </w:r>
      <w:r w:rsidRPr="00CD7B80">
        <w:rPr>
          <w:sz w:val="20"/>
          <w:szCs w:val="20"/>
        </w:rPr>
        <w:t>, p. 264).</w:t>
      </w:r>
    </w:p>
  </w:footnote>
  <w:footnote w:id="162">
    <w:p w14:paraId="773565F7" w14:textId="2E3FEEF0" w:rsidR="002658C8" w:rsidRPr="00CD7B80" w:rsidRDefault="002658C8" w:rsidP="00CA177F">
      <w:pPr>
        <w:pStyle w:val="Notedebasdepage"/>
        <w:jc w:val="both"/>
        <w:rPr>
          <w:sz w:val="20"/>
          <w:szCs w:val="20"/>
          <w:lang w:val="nl-NL"/>
        </w:rPr>
      </w:pPr>
      <w:r w:rsidRPr="00CD7B80">
        <w:rPr>
          <w:rStyle w:val="Marquenotebasdepage"/>
          <w:sz w:val="20"/>
          <w:szCs w:val="20"/>
        </w:rPr>
        <w:footnoteRef/>
      </w:r>
      <w:r w:rsidRPr="00CD7B80">
        <w:rPr>
          <w:sz w:val="20"/>
          <w:szCs w:val="20"/>
        </w:rPr>
        <w:t xml:space="preserve"> H. </w:t>
      </w:r>
      <w:r w:rsidRPr="00CD7B80">
        <w:rPr>
          <w:smallCaps/>
          <w:sz w:val="20"/>
          <w:szCs w:val="20"/>
        </w:rPr>
        <w:t>De</w:t>
      </w:r>
      <w:r w:rsidRPr="00CD7B80">
        <w:rPr>
          <w:sz w:val="20"/>
          <w:szCs w:val="20"/>
        </w:rPr>
        <w:t xml:space="preserve"> </w:t>
      </w:r>
      <w:r w:rsidRPr="00CD7B80">
        <w:rPr>
          <w:smallCaps/>
          <w:sz w:val="20"/>
          <w:szCs w:val="20"/>
        </w:rPr>
        <w:t>Page</w:t>
      </w:r>
      <w:r w:rsidRPr="00CD7B80">
        <w:rPr>
          <w:sz w:val="20"/>
          <w:szCs w:val="20"/>
        </w:rPr>
        <w:t xml:space="preserve">, </w:t>
      </w:r>
      <w:r w:rsidRPr="00CD7B80">
        <w:rPr>
          <w:i/>
          <w:sz w:val="20"/>
          <w:szCs w:val="20"/>
        </w:rPr>
        <w:t>Traité élémentaire de droit civil belge</w:t>
      </w:r>
      <w:r w:rsidRPr="00CD7B80">
        <w:rPr>
          <w:sz w:val="20"/>
          <w:szCs w:val="20"/>
        </w:rPr>
        <w:t xml:space="preserve">, </w:t>
      </w:r>
      <w:r w:rsidRPr="00CD7B80">
        <w:rPr>
          <w:i/>
          <w:sz w:val="20"/>
          <w:szCs w:val="20"/>
        </w:rPr>
        <w:t>op. cit.</w:t>
      </w:r>
      <w:r w:rsidRPr="00CD7B80">
        <w:rPr>
          <w:sz w:val="20"/>
          <w:szCs w:val="20"/>
        </w:rPr>
        <w:t>, t. II, p. 758, n°785.</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3B4B"/>
    <w:multiLevelType w:val="hybridMultilevel"/>
    <w:tmpl w:val="6FCED19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EE711E"/>
    <w:multiLevelType w:val="hybridMultilevel"/>
    <w:tmpl w:val="D868B35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97051B"/>
    <w:multiLevelType w:val="hybridMultilevel"/>
    <w:tmpl w:val="1218A16C"/>
    <w:lvl w:ilvl="0" w:tplc="42A88DFA">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59F62E7"/>
    <w:multiLevelType w:val="hybridMultilevel"/>
    <w:tmpl w:val="23E2F54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B9A50E3"/>
    <w:multiLevelType w:val="hybridMultilevel"/>
    <w:tmpl w:val="51DA796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F474F16"/>
    <w:multiLevelType w:val="hybridMultilevel"/>
    <w:tmpl w:val="54E8A0FE"/>
    <w:lvl w:ilvl="0" w:tplc="5824C3B4">
      <w:start w:val="1"/>
      <w:numFmt w:val="decimal"/>
      <w:pStyle w:val="Capsule"/>
      <w:lvlText w:val="%1."/>
      <w:lvlJc w:val="left"/>
      <w:pPr>
        <w:ind w:hanging="360"/>
      </w:pPr>
      <w:rPr>
        <w:b/>
        <w:i w:val="0"/>
        <w:color w:val="auto"/>
      </w:rPr>
    </w:lvl>
    <w:lvl w:ilvl="1" w:tplc="851874D0">
      <w:start w:val="1"/>
      <w:numFmt w:val="lowerLetter"/>
      <w:lvlText w:val="%2."/>
      <w:lvlJc w:val="left"/>
      <w:pPr>
        <w:ind w:hanging="360"/>
      </w:pPr>
    </w:lvl>
    <w:lvl w:ilvl="2" w:tplc="D7E27508">
      <w:start w:val="1"/>
      <w:numFmt w:val="lowerRoman"/>
      <w:lvlText w:val="%3."/>
      <w:lvlJc w:val="right"/>
      <w:pPr>
        <w:ind w:hanging="180"/>
      </w:pPr>
    </w:lvl>
    <w:lvl w:ilvl="3" w:tplc="139CB5DC">
      <w:start w:val="1"/>
      <w:numFmt w:val="decimal"/>
      <w:lvlText w:val="%4."/>
      <w:lvlJc w:val="left"/>
      <w:pPr>
        <w:ind w:hanging="360"/>
      </w:pPr>
    </w:lvl>
    <w:lvl w:ilvl="4" w:tplc="36129774">
      <w:start w:val="1"/>
      <w:numFmt w:val="lowerLetter"/>
      <w:lvlText w:val="%5."/>
      <w:lvlJc w:val="left"/>
      <w:pPr>
        <w:ind w:hanging="360"/>
      </w:pPr>
    </w:lvl>
    <w:lvl w:ilvl="5" w:tplc="D5AEF1C4">
      <w:start w:val="1"/>
      <w:numFmt w:val="lowerRoman"/>
      <w:lvlText w:val="%6."/>
      <w:lvlJc w:val="right"/>
      <w:pPr>
        <w:ind w:hanging="180"/>
      </w:pPr>
    </w:lvl>
    <w:lvl w:ilvl="6" w:tplc="92A65A82">
      <w:start w:val="1"/>
      <w:numFmt w:val="decimal"/>
      <w:lvlText w:val="%7."/>
      <w:lvlJc w:val="left"/>
      <w:pPr>
        <w:ind w:hanging="360"/>
      </w:pPr>
    </w:lvl>
    <w:lvl w:ilvl="7" w:tplc="C2B66884">
      <w:start w:val="1"/>
      <w:numFmt w:val="lowerLetter"/>
      <w:lvlText w:val="%8."/>
      <w:lvlJc w:val="left"/>
      <w:pPr>
        <w:ind w:hanging="360"/>
      </w:pPr>
    </w:lvl>
    <w:lvl w:ilvl="8" w:tplc="252C4B7C">
      <w:start w:val="1"/>
      <w:numFmt w:val="lowerRoman"/>
      <w:lvlText w:val="%9."/>
      <w:lvlJc w:val="right"/>
      <w:pPr>
        <w:ind w:hanging="180"/>
      </w:pPr>
    </w:lvl>
  </w:abstractNum>
  <w:abstractNum w:abstractNumId="6">
    <w:nsid w:val="50882D28"/>
    <w:multiLevelType w:val="hybridMultilevel"/>
    <w:tmpl w:val="94B67E30"/>
    <w:lvl w:ilvl="0" w:tplc="821836E0">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E97619E"/>
    <w:multiLevelType w:val="hybridMultilevel"/>
    <w:tmpl w:val="F61E9F2E"/>
    <w:lvl w:ilvl="0" w:tplc="526418F0">
      <w:start w:val="4"/>
      <w:numFmt w:val="bullet"/>
      <w:lvlText w:val="-"/>
      <w:lvlJc w:val="left"/>
      <w:pPr>
        <w:ind w:left="720" w:hanging="360"/>
      </w:pPr>
      <w:rPr>
        <w:rFonts w:ascii="Times" w:eastAsiaTheme="minorEastAsia"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5"/>
    <w:lvlOverride w:ilvl="0">
      <w:lvl w:ilvl="0" w:tplc="5824C3B4">
        <w:start w:val="1"/>
        <w:numFmt w:val="decimal"/>
        <w:pStyle w:val="Capsule"/>
        <w:lvlText w:val="%1."/>
        <w:lvlJc w:val="left"/>
        <w:pPr>
          <w:ind w:hanging="360"/>
        </w:pPr>
        <w:rPr>
          <w:b/>
          <w:i w:val="0"/>
          <w:color w:val="auto"/>
        </w:rPr>
      </w:lvl>
    </w:lvlOverride>
    <w:lvlOverride w:ilvl="1">
      <w:lvl w:ilvl="1" w:tplc="851874D0" w:tentative="1">
        <w:start w:val="1"/>
        <w:numFmt w:val="lowerLetter"/>
        <w:lvlText w:val="%2."/>
        <w:lvlJc w:val="left"/>
        <w:pPr>
          <w:ind w:left="1440" w:hanging="360"/>
        </w:pPr>
      </w:lvl>
    </w:lvlOverride>
    <w:lvlOverride w:ilvl="2">
      <w:lvl w:ilvl="2" w:tplc="D7E27508" w:tentative="1">
        <w:start w:val="1"/>
        <w:numFmt w:val="lowerRoman"/>
        <w:lvlText w:val="%3."/>
        <w:lvlJc w:val="right"/>
        <w:pPr>
          <w:ind w:left="2160" w:hanging="180"/>
        </w:pPr>
      </w:lvl>
    </w:lvlOverride>
    <w:lvlOverride w:ilvl="3">
      <w:lvl w:ilvl="3" w:tplc="139CB5DC" w:tentative="1">
        <w:start w:val="1"/>
        <w:numFmt w:val="decimal"/>
        <w:lvlText w:val="%4."/>
        <w:lvlJc w:val="left"/>
        <w:pPr>
          <w:ind w:left="2880" w:hanging="360"/>
        </w:pPr>
      </w:lvl>
    </w:lvlOverride>
    <w:lvlOverride w:ilvl="4">
      <w:lvl w:ilvl="4" w:tplc="36129774" w:tentative="1">
        <w:start w:val="1"/>
        <w:numFmt w:val="lowerLetter"/>
        <w:lvlText w:val="%5."/>
        <w:lvlJc w:val="left"/>
        <w:pPr>
          <w:ind w:left="3600" w:hanging="360"/>
        </w:pPr>
      </w:lvl>
    </w:lvlOverride>
    <w:lvlOverride w:ilvl="5">
      <w:lvl w:ilvl="5" w:tplc="D5AEF1C4" w:tentative="1">
        <w:start w:val="1"/>
        <w:numFmt w:val="lowerRoman"/>
        <w:lvlText w:val="%6."/>
        <w:lvlJc w:val="right"/>
        <w:pPr>
          <w:ind w:left="4320" w:hanging="180"/>
        </w:pPr>
      </w:lvl>
    </w:lvlOverride>
    <w:lvlOverride w:ilvl="6">
      <w:lvl w:ilvl="6" w:tplc="92A65A82" w:tentative="1">
        <w:start w:val="1"/>
        <w:numFmt w:val="decimal"/>
        <w:lvlText w:val="%7."/>
        <w:lvlJc w:val="left"/>
        <w:pPr>
          <w:ind w:left="5040" w:hanging="360"/>
        </w:pPr>
      </w:lvl>
    </w:lvlOverride>
    <w:lvlOverride w:ilvl="7">
      <w:lvl w:ilvl="7" w:tplc="C2B66884" w:tentative="1">
        <w:start w:val="1"/>
        <w:numFmt w:val="lowerLetter"/>
        <w:lvlText w:val="%8."/>
        <w:lvlJc w:val="left"/>
        <w:pPr>
          <w:ind w:left="5760" w:hanging="360"/>
        </w:pPr>
      </w:lvl>
    </w:lvlOverride>
    <w:lvlOverride w:ilvl="8">
      <w:lvl w:ilvl="8" w:tplc="252C4B7C" w:tentative="1">
        <w:start w:val="1"/>
        <w:numFmt w:val="lowerRoman"/>
        <w:lvlText w:val="%9."/>
        <w:lvlJc w:val="right"/>
        <w:pPr>
          <w:ind w:left="6480" w:hanging="180"/>
        </w:pPr>
      </w:lvl>
    </w:lvlOverride>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661"/>
    <w:rsid w:val="00004B2A"/>
    <w:rsid w:val="00007820"/>
    <w:rsid w:val="00013D0F"/>
    <w:rsid w:val="00016476"/>
    <w:rsid w:val="0002492B"/>
    <w:rsid w:val="000369D7"/>
    <w:rsid w:val="00051D65"/>
    <w:rsid w:val="0005207A"/>
    <w:rsid w:val="000523BA"/>
    <w:rsid w:val="00052D08"/>
    <w:rsid w:val="00055715"/>
    <w:rsid w:val="000664A4"/>
    <w:rsid w:val="00076B75"/>
    <w:rsid w:val="000830D9"/>
    <w:rsid w:val="00083CF7"/>
    <w:rsid w:val="00096AFC"/>
    <w:rsid w:val="00097812"/>
    <w:rsid w:val="000A0EE0"/>
    <w:rsid w:val="000A246D"/>
    <w:rsid w:val="000B0FB2"/>
    <w:rsid w:val="000B7117"/>
    <w:rsid w:val="000C4A0C"/>
    <w:rsid w:val="000D5129"/>
    <w:rsid w:val="000D7F29"/>
    <w:rsid w:val="000E51A3"/>
    <w:rsid w:val="000F6C17"/>
    <w:rsid w:val="0010082D"/>
    <w:rsid w:val="001056D8"/>
    <w:rsid w:val="00106A58"/>
    <w:rsid w:val="00107B33"/>
    <w:rsid w:val="001160CB"/>
    <w:rsid w:val="0011756F"/>
    <w:rsid w:val="00120DD5"/>
    <w:rsid w:val="001266C0"/>
    <w:rsid w:val="00142422"/>
    <w:rsid w:val="00143901"/>
    <w:rsid w:val="001506E6"/>
    <w:rsid w:val="00161B1B"/>
    <w:rsid w:val="00164139"/>
    <w:rsid w:val="00172EC3"/>
    <w:rsid w:val="00173A22"/>
    <w:rsid w:val="0017598B"/>
    <w:rsid w:val="0018242F"/>
    <w:rsid w:val="001858DA"/>
    <w:rsid w:val="001A11D5"/>
    <w:rsid w:val="001A6189"/>
    <w:rsid w:val="001B0E59"/>
    <w:rsid w:val="001C4B75"/>
    <w:rsid w:val="001C7197"/>
    <w:rsid w:val="001D6289"/>
    <w:rsid w:val="001E437E"/>
    <w:rsid w:val="001E5C49"/>
    <w:rsid w:val="001F3463"/>
    <w:rsid w:val="001F4772"/>
    <w:rsid w:val="00202F3F"/>
    <w:rsid w:val="0020373F"/>
    <w:rsid w:val="00215CEE"/>
    <w:rsid w:val="002259CB"/>
    <w:rsid w:val="002263DF"/>
    <w:rsid w:val="00227BD1"/>
    <w:rsid w:val="002412F9"/>
    <w:rsid w:val="00255586"/>
    <w:rsid w:val="00255D6F"/>
    <w:rsid w:val="0025700A"/>
    <w:rsid w:val="0026020A"/>
    <w:rsid w:val="002658C8"/>
    <w:rsid w:val="00273689"/>
    <w:rsid w:val="00273D6D"/>
    <w:rsid w:val="002B09C6"/>
    <w:rsid w:val="002B5262"/>
    <w:rsid w:val="002E0F36"/>
    <w:rsid w:val="002E3AE2"/>
    <w:rsid w:val="002F2359"/>
    <w:rsid w:val="002F3E11"/>
    <w:rsid w:val="002F4DCE"/>
    <w:rsid w:val="003022F8"/>
    <w:rsid w:val="00302BB3"/>
    <w:rsid w:val="00303C58"/>
    <w:rsid w:val="0031088F"/>
    <w:rsid w:val="00312D72"/>
    <w:rsid w:val="0031464C"/>
    <w:rsid w:val="003268A5"/>
    <w:rsid w:val="003351B5"/>
    <w:rsid w:val="00336B86"/>
    <w:rsid w:val="0033731E"/>
    <w:rsid w:val="00341339"/>
    <w:rsid w:val="00341D4F"/>
    <w:rsid w:val="003426F1"/>
    <w:rsid w:val="00346336"/>
    <w:rsid w:val="00360889"/>
    <w:rsid w:val="003617CD"/>
    <w:rsid w:val="0038130E"/>
    <w:rsid w:val="003820FB"/>
    <w:rsid w:val="0038410C"/>
    <w:rsid w:val="003847D8"/>
    <w:rsid w:val="003870A4"/>
    <w:rsid w:val="003948DF"/>
    <w:rsid w:val="003A41A9"/>
    <w:rsid w:val="003A7C5F"/>
    <w:rsid w:val="003B34F5"/>
    <w:rsid w:val="003B47EB"/>
    <w:rsid w:val="003B5426"/>
    <w:rsid w:val="003D4652"/>
    <w:rsid w:val="003F06AA"/>
    <w:rsid w:val="003F2DC6"/>
    <w:rsid w:val="00402D3F"/>
    <w:rsid w:val="00407AFA"/>
    <w:rsid w:val="00415D20"/>
    <w:rsid w:val="00425751"/>
    <w:rsid w:val="00426FA9"/>
    <w:rsid w:val="00432BB5"/>
    <w:rsid w:val="004351A7"/>
    <w:rsid w:val="00440664"/>
    <w:rsid w:val="00445CB4"/>
    <w:rsid w:val="004818F9"/>
    <w:rsid w:val="004844B8"/>
    <w:rsid w:val="00491416"/>
    <w:rsid w:val="004C3BDA"/>
    <w:rsid w:val="004C4174"/>
    <w:rsid w:val="004E4812"/>
    <w:rsid w:val="004E5B40"/>
    <w:rsid w:val="004F5E66"/>
    <w:rsid w:val="00507E06"/>
    <w:rsid w:val="0051365F"/>
    <w:rsid w:val="0052362F"/>
    <w:rsid w:val="005329C8"/>
    <w:rsid w:val="0054718C"/>
    <w:rsid w:val="00554BD4"/>
    <w:rsid w:val="00565288"/>
    <w:rsid w:val="00595D90"/>
    <w:rsid w:val="005C3F1B"/>
    <w:rsid w:val="005E2D80"/>
    <w:rsid w:val="005E68CE"/>
    <w:rsid w:val="005E722F"/>
    <w:rsid w:val="005E779F"/>
    <w:rsid w:val="005F4B7A"/>
    <w:rsid w:val="005F5A60"/>
    <w:rsid w:val="005F611B"/>
    <w:rsid w:val="005F7EBF"/>
    <w:rsid w:val="00600D2F"/>
    <w:rsid w:val="00605124"/>
    <w:rsid w:val="00607577"/>
    <w:rsid w:val="006175AA"/>
    <w:rsid w:val="006319F7"/>
    <w:rsid w:val="00647CE5"/>
    <w:rsid w:val="00650B1B"/>
    <w:rsid w:val="00651CB4"/>
    <w:rsid w:val="00670397"/>
    <w:rsid w:val="00674E21"/>
    <w:rsid w:val="006815DB"/>
    <w:rsid w:val="00682E3A"/>
    <w:rsid w:val="00682F99"/>
    <w:rsid w:val="00687C81"/>
    <w:rsid w:val="006B1826"/>
    <w:rsid w:val="006C0A48"/>
    <w:rsid w:val="006D4648"/>
    <w:rsid w:val="006D7131"/>
    <w:rsid w:val="006E1A23"/>
    <w:rsid w:val="0070040D"/>
    <w:rsid w:val="00703A03"/>
    <w:rsid w:val="00704B16"/>
    <w:rsid w:val="00717807"/>
    <w:rsid w:val="0072478B"/>
    <w:rsid w:val="00725297"/>
    <w:rsid w:val="007369B3"/>
    <w:rsid w:val="00737633"/>
    <w:rsid w:val="007379C4"/>
    <w:rsid w:val="0074144F"/>
    <w:rsid w:val="00762E5F"/>
    <w:rsid w:val="00764847"/>
    <w:rsid w:val="0076737C"/>
    <w:rsid w:val="00777660"/>
    <w:rsid w:val="00791104"/>
    <w:rsid w:val="00797B0F"/>
    <w:rsid w:val="007A27CF"/>
    <w:rsid w:val="007B3951"/>
    <w:rsid w:val="007B6ABA"/>
    <w:rsid w:val="007D3068"/>
    <w:rsid w:val="007D61A6"/>
    <w:rsid w:val="007E55C8"/>
    <w:rsid w:val="008003EC"/>
    <w:rsid w:val="00804A59"/>
    <w:rsid w:val="00816AB6"/>
    <w:rsid w:val="00822A20"/>
    <w:rsid w:val="0083548F"/>
    <w:rsid w:val="008472D8"/>
    <w:rsid w:val="00854EC9"/>
    <w:rsid w:val="00863A05"/>
    <w:rsid w:val="00874665"/>
    <w:rsid w:val="00876130"/>
    <w:rsid w:val="008A17E7"/>
    <w:rsid w:val="008A3878"/>
    <w:rsid w:val="008B0319"/>
    <w:rsid w:val="008B06DD"/>
    <w:rsid w:val="008B401C"/>
    <w:rsid w:val="008B6963"/>
    <w:rsid w:val="008C6674"/>
    <w:rsid w:val="008D03B9"/>
    <w:rsid w:val="008D139C"/>
    <w:rsid w:val="008E1FAD"/>
    <w:rsid w:val="008F21EE"/>
    <w:rsid w:val="009048F2"/>
    <w:rsid w:val="00905123"/>
    <w:rsid w:val="0091186C"/>
    <w:rsid w:val="0091624B"/>
    <w:rsid w:val="00921BD3"/>
    <w:rsid w:val="0092332F"/>
    <w:rsid w:val="00923AA1"/>
    <w:rsid w:val="00923CA1"/>
    <w:rsid w:val="00944E5C"/>
    <w:rsid w:val="009535C9"/>
    <w:rsid w:val="00957FEE"/>
    <w:rsid w:val="0097252C"/>
    <w:rsid w:val="00976E7F"/>
    <w:rsid w:val="00986522"/>
    <w:rsid w:val="00986911"/>
    <w:rsid w:val="00997706"/>
    <w:rsid w:val="009B6C25"/>
    <w:rsid w:val="009B6E9F"/>
    <w:rsid w:val="009D1FC7"/>
    <w:rsid w:val="009D6429"/>
    <w:rsid w:val="009D6F1E"/>
    <w:rsid w:val="009E2E76"/>
    <w:rsid w:val="009E7F6A"/>
    <w:rsid w:val="009F5F8E"/>
    <w:rsid w:val="00A150BB"/>
    <w:rsid w:val="00A274DF"/>
    <w:rsid w:val="00A4554D"/>
    <w:rsid w:val="00A604AB"/>
    <w:rsid w:val="00A6335F"/>
    <w:rsid w:val="00A763E8"/>
    <w:rsid w:val="00AA21CA"/>
    <w:rsid w:val="00AA5E78"/>
    <w:rsid w:val="00AD1C83"/>
    <w:rsid w:val="00AE12B0"/>
    <w:rsid w:val="00AF2B12"/>
    <w:rsid w:val="00B01DAB"/>
    <w:rsid w:val="00B0435D"/>
    <w:rsid w:val="00B062BF"/>
    <w:rsid w:val="00B21723"/>
    <w:rsid w:val="00B47884"/>
    <w:rsid w:val="00B47BD6"/>
    <w:rsid w:val="00B50269"/>
    <w:rsid w:val="00B60D44"/>
    <w:rsid w:val="00B736A6"/>
    <w:rsid w:val="00B77D22"/>
    <w:rsid w:val="00B845D6"/>
    <w:rsid w:val="00B855DB"/>
    <w:rsid w:val="00B929D6"/>
    <w:rsid w:val="00B9370A"/>
    <w:rsid w:val="00B97A17"/>
    <w:rsid w:val="00BB0270"/>
    <w:rsid w:val="00BB6525"/>
    <w:rsid w:val="00BC1704"/>
    <w:rsid w:val="00BC4C8D"/>
    <w:rsid w:val="00BD1891"/>
    <w:rsid w:val="00BD328D"/>
    <w:rsid w:val="00BD7F7E"/>
    <w:rsid w:val="00BE173D"/>
    <w:rsid w:val="00BF456D"/>
    <w:rsid w:val="00BF5134"/>
    <w:rsid w:val="00C00AC4"/>
    <w:rsid w:val="00C035EA"/>
    <w:rsid w:val="00C05991"/>
    <w:rsid w:val="00C23D69"/>
    <w:rsid w:val="00C4017C"/>
    <w:rsid w:val="00C4030D"/>
    <w:rsid w:val="00C41F2B"/>
    <w:rsid w:val="00C44A89"/>
    <w:rsid w:val="00C46D86"/>
    <w:rsid w:val="00C504C7"/>
    <w:rsid w:val="00C50A3F"/>
    <w:rsid w:val="00C55E9F"/>
    <w:rsid w:val="00C56496"/>
    <w:rsid w:val="00C61653"/>
    <w:rsid w:val="00C70398"/>
    <w:rsid w:val="00C752C3"/>
    <w:rsid w:val="00C8628E"/>
    <w:rsid w:val="00C92E7D"/>
    <w:rsid w:val="00C965B7"/>
    <w:rsid w:val="00CA177F"/>
    <w:rsid w:val="00CA2A00"/>
    <w:rsid w:val="00CA7549"/>
    <w:rsid w:val="00CA7F05"/>
    <w:rsid w:val="00CB18B4"/>
    <w:rsid w:val="00CC1BDB"/>
    <w:rsid w:val="00CC27D1"/>
    <w:rsid w:val="00CC761F"/>
    <w:rsid w:val="00CD021B"/>
    <w:rsid w:val="00CD0800"/>
    <w:rsid w:val="00CD7B80"/>
    <w:rsid w:val="00CE3561"/>
    <w:rsid w:val="00CE6929"/>
    <w:rsid w:val="00D050BE"/>
    <w:rsid w:val="00D12DBC"/>
    <w:rsid w:val="00D31FAD"/>
    <w:rsid w:val="00D33323"/>
    <w:rsid w:val="00D36AA5"/>
    <w:rsid w:val="00D40299"/>
    <w:rsid w:val="00D44696"/>
    <w:rsid w:val="00D53D86"/>
    <w:rsid w:val="00D60EEB"/>
    <w:rsid w:val="00D631D4"/>
    <w:rsid w:val="00D671D5"/>
    <w:rsid w:val="00D706FB"/>
    <w:rsid w:val="00D7182C"/>
    <w:rsid w:val="00D72A67"/>
    <w:rsid w:val="00D81009"/>
    <w:rsid w:val="00D826C2"/>
    <w:rsid w:val="00DA08C3"/>
    <w:rsid w:val="00DA439E"/>
    <w:rsid w:val="00DA6463"/>
    <w:rsid w:val="00DB5277"/>
    <w:rsid w:val="00DB7CE4"/>
    <w:rsid w:val="00DC234C"/>
    <w:rsid w:val="00DD2A48"/>
    <w:rsid w:val="00DD6964"/>
    <w:rsid w:val="00DE0789"/>
    <w:rsid w:val="00DE3755"/>
    <w:rsid w:val="00DF0C25"/>
    <w:rsid w:val="00E01D61"/>
    <w:rsid w:val="00E30837"/>
    <w:rsid w:val="00E32690"/>
    <w:rsid w:val="00E40218"/>
    <w:rsid w:val="00E40347"/>
    <w:rsid w:val="00E4206B"/>
    <w:rsid w:val="00E5736D"/>
    <w:rsid w:val="00E67A43"/>
    <w:rsid w:val="00E8073C"/>
    <w:rsid w:val="00E810E8"/>
    <w:rsid w:val="00E90C75"/>
    <w:rsid w:val="00E9140D"/>
    <w:rsid w:val="00EA5447"/>
    <w:rsid w:val="00EB23BB"/>
    <w:rsid w:val="00EB6DDE"/>
    <w:rsid w:val="00ED090A"/>
    <w:rsid w:val="00EE0042"/>
    <w:rsid w:val="00EF48CC"/>
    <w:rsid w:val="00EF5DFF"/>
    <w:rsid w:val="00EF6AF6"/>
    <w:rsid w:val="00F00057"/>
    <w:rsid w:val="00F154D5"/>
    <w:rsid w:val="00F15D52"/>
    <w:rsid w:val="00F23F6A"/>
    <w:rsid w:val="00F24D9C"/>
    <w:rsid w:val="00F26D2D"/>
    <w:rsid w:val="00F3665E"/>
    <w:rsid w:val="00F41661"/>
    <w:rsid w:val="00F44584"/>
    <w:rsid w:val="00F51EC1"/>
    <w:rsid w:val="00F5375C"/>
    <w:rsid w:val="00F55A46"/>
    <w:rsid w:val="00F64C8B"/>
    <w:rsid w:val="00F6523F"/>
    <w:rsid w:val="00F90550"/>
    <w:rsid w:val="00F92012"/>
    <w:rsid w:val="00F9343E"/>
    <w:rsid w:val="00F97343"/>
    <w:rsid w:val="00FC1E3E"/>
    <w:rsid w:val="00FC4CB4"/>
    <w:rsid w:val="00FD1F10"/>
    <w:rsid w:val="00FD68A2"/>
    <w:rsid w:val="00FE48AE"/>
    <w:rsid w:val="00FE5B59"/>
    <w:rsid w:val="00FE74D6"/>
    <w:rsid w:val="00FF67B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4FBAC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annotation">
    <w:name w:val="annotation reference"/>
    <w:basedOn w:val="Policepardfaut"/>
    <w:uiPriority w:val="99"/>
    <w:semiHidden/>
    <w:unhideWhenUsed/>
    <w:rsid w:val="00E4206B"/>
    <w:rPr>
      <w:sz w:val="18"/>
      <w:szCs w:val="18"/>
    </w:rPr>
  </w:style>
  <w:style w:type="paragraph" w:styleId="Commentaire">
    <w:name w:val="annotation text"/>
    <w:basedOn w:val="Normal"/>
    <w:link w:val="CommentaireCar"/>
    <w:uiPriority w:val="99"/>
    <w:semiHidden/>
    <w:unhideWhenUsed/>
    <w:rsid w:val="00E4206B"/>
  </w:style>
  <w:style w:type="character" w:customStyle="1" w:styleId="CommentaireCar">
    <w:name w:val="Commentaire Car"/>
    <w:basedOn w:val="Policepardfaut"/>
    <w:link w:val="Commentaire"/>
    <w:uiPriority w:val="99"/>
    <w:semiHidden/>
    <w:rsid w:val="00E4206B"/>
    <w:rPr>
      <w:rFonts w:ascii="Times" w:hAnsi="Times"/>
      <w:sz w:val="24"/>
      <w:szCs w:val="24"/>
      <w:lang w:eastAsia="fr-FR"/>
    </w:rPr>
  </w:style>
  <w:style w:type="paragraph" w:styleId="Objetducommentaire">
    <w:name w:val="annotation subject"/>
    <w:basedOn w:val="Commentaire"/>
    <w:next w:val="Commentaire"/>
    <w:link w:val="ObjetducommentaireCar"/>
    <w:uiPriority w:val="99"/>
    <w:semiHidden/>
    <w:unhideWhenUsed/>
    <w:rsid w:val="00E4206B"/>
    <w:rPr>
      <w:b/>
      <w:bCs/>
      <w:sz w:val="20"/>
      <w:szCs w:val="20"/>
    </w:rPr>
  </w:style>
  <w:style w:type="character" w:customStyle="1" w:styleId="ObjetducommentaireCar">
    <w:name w:val="Objet du commentaire Car"/>
    <w:basedOn w:val="CommentaireCar"/>
    <w:link w:val="Objetducommentaire"/>
    <w:uiPriority w:val="99"/>
    <w:semiHidden/>
    <w:rsid w:val="00E4206B"/>
    <w:rPr>
      <w:rFonts w:ascii="Times" w:hAnsi="Times"/>
      <w:b/>
      <w:bCs/>
      <w:sz w:val="24"/>
      <w:szCs w:val="24"/>
      <w:lang w:eastAsia="fr-FR"/>
    </w:rPr>
  </w:style>
  <w:style w:type="paragraph" w:styleId="Textedebulles">
    <w:name w:val="Balloon Text"/>
    <w:basedOn w:val="Normal"/>
    <w:link w:val="TextedebullesCar"/>
    <w:uiPriority w:val="99"/>
    <w:semiHidden/>
    <w:unhideWhenUsed/>
    <w:rsid w:val="00E4206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4206B"/>
    <w:rPr>
      <w:rFonts w:ascii="Lucida Grande" w:hAnsi="Lucida Grande" w:cs="Lucida Grande"/>
      <w:sz w:val="18"/>
      <w:szCs w:val="18"/>
      <w:lang w:eastAsia="fr-FR"/>
    </w:rPr>
  </w:style>
  <w:style w:type="paragraph" w:styleId="Notedebasdepage">
    <w:name w:val="footnote text"/>
    <w:basedOn w:val="Normal"/>
    <w:link w:val="NotedebasdepageCar"/>
    <w:uiPriority w:val="99"/>
    <w:unhideWhenUsed/>
    <w:rsid w:val="00E4206B"/>
  </w:style>
  <w:style w:type="character" w:customStyle="1" w:styleId="NotedebasdepageCar">
    <w:name w:val="Note de bas de page Car"/>
    <w:basedOn w:val="Policepardfaut"/>
    <w:link w:val="Notedebasdepage"/>
    <w:uiPriority w:val="99"/>
    <w:rsid w:val="00E4206B"/>
    <w:rPr>
      <w:rFonts w:ascii="Times" w:hAnsi="Times"/>
      <w:sz w:val="24"/>
      <w:szCs w:val="24"/>
      <w:lang w:eastAsia="fr-FR"/>
    </w:rPr>
  </w:style>
  <w:style w:type="character" w:styleId="Marquenotebasdepage">
    <w:name w:val="footnote reference"/>
    <w:basedOn w:val="Policepardfaut"/>
    <w:uiPriority w:val="99"/>
    <w:unhideWhenUsed/>
    <w:rsid w:val="00E4206B"/>
    <w:rPr>
      <w:vertAlign w:val="superscript"/>
    </w:rPr>
  </w:style>
  <w:style w:type="paragraph" w:styleId="Paragraphedeliste">
    <w:name w:val="List Paragraph"/>
    <w:basedOn w:val="Normal"/>
    <w:uiPriority w:val="34"/>
    <w:qFormat/>
    <w:rsid w:val="00E4206B"/>
    <w:pPr>
      <w:ind w:left="720"/>
      <w:contextualSpacing/>
    </w:pPr>
  </w:style>
  <w:style w:type="paragraph" w:styleId="Pieddepage">
    <w:name w:val="footer"/>
    <w:basedOn w:val="Normal"/>
    <w:link w:val="PieddepageCar"/>
    <w:uiPriority w:val="99"/>
    <w:unhideWhenUsed/>
    <w:rsid w:val="00341D4F"/>
    <w:pPr>
      <w:tabs>
        <w:tab w:val="center" w:pos="4536"/>
        <w:tab w:val="right" w:pos="9072"/>
      </w:tabs>
    </w:pPr>
  </w:style>
  <w:style w:type="character" w:customStyle="1" w:styleId="PieddepageCar">
    <w:name w:val="Pied de page Car"/>
    <w:basedOn w:val="Policepardfaut"/>
    <w:link w:val="Pieddepage"/>
    <w:uiPriority w:val="99"/>
    <w:rsid w:val="00341D4F"/>
    <w:rPr>
      <w:rFonts w:ascii="Times" w:hAnsi="Times"/>
      <w:szCs w:val="24"/>
      <w:lang w:eastAsia="fr-FR"/>
    </w:rPr>
  </w:style>
  <w:style w:type="character" w:styleId="Numrodepage">
    <w:name w:val="page number"/>
    <w:basedOn w:val="Policepardfaut"/>
    <w:uiPriority w:val="99"/>
    <w:semiHidden/>
    <w:unhideWhenUsed/>
    <w:rsid w:val="00341D4F"/>
  </w:style>
  <w:style w:type="paragraph" w:customStyle="1" w:styleId="Capsule">
    <w:name w:val="Capsule"/>
    <w:next w:val="Normal"/>
    <w:qFormat/>
    <w:rsid w:val="0074144F"/>
    <w:pPr>
      <w:numPr>
        <w:numId w:val="5"/>
      </w:numPr>
      <w:tabs>
        <w:tab w:val="left" w:pos="360"/>
        <w:tab w:val="left" w:pos="426"/>
      </w:tabs>
      <w:adjustRightInd w:val="0"/>
      <w:spacing w:after="200" w:line="0" w:lineRule="atLeast"/>
      <w:jc w:val="both"/>
      <w:outlineLvl w:val="8"/>
    </w:pPr>
    <w:rPr>
      <w:rFonts w:eastAsia="MS Mincho" w:cs="Calibri"/>
      <w:b/>
      <w:szCs w:val="20"/>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annotation">
    <w:name w:val="annotation reference"/>
    <w:basedOn w:val="Policepardfaut"/>
    <w:uiPriority w:val="99"/>
    <w:semiHidden/>
    <w:unhideWhenUsed/>
    <w:rsid w:val="00E4206B"/>
    <w:rPr>
      <w:sz w:val="18"/>
      <w:szCs w:val="18"/>
    </w:rPr>
  </w:style>
  <w:style w:type="paragraph" w:styleId="Commentaire">
    <w:name w:val="annotation text"/>
    <w:basedOn w:val="Normal"/>
    <w:link w:val="CommentaireCar"/>
    <w:uiPriority w:val="99"/>
    <w:semiHidden/>
    <w:unhideWhenUsed/>
    <w:rsid w:val="00E4206B"/>
  </w:style>
  <w:style w:type="character" w:customStyle="1" w:styleId="CommentaireCar">
    <w:name w:val="Commentaire Car"/>
    <w:basedOn w:val="Policepardfaut"/>
    <w:link w:val="Commentaire"/>
    <w:uiPriority w:val="99"/>
    <w:semiHidden/>
    <w:rsid w:val="00E4206B"/>
    <w:rPr>
      <w:rFonts w:ascii="Times" w:hAnsi="Times"/>
      <w:sz w:val="24"/>
      <w:szCs w:val="24"/>
      <w:lang w:eastAsia="fr-FR"/>
    </w:rPr>
  </w:style>
  <w:style w:type="paragraph" w:styleId="Objetducommentaire">
    <w:name w:val="annotation subject"/>
    <w:basedOn w:val="Commentaire"/>
    <w:next w:val="Commentaire"/>
    <w:link w:val="ObjetducommentaireCar"/>
    <w:uiPriority w:val="99"/>
    <w:semiHidden/>
    <w:unhideWhenUsed/>
    <w:rsid w:val="00E4206B"/>
    <w:rPr>
      <w:b/>
      <w:bCs/>
      <w:sz w:val="20"/>
      <w:szCs w:val="20"/>
    </w:rPr>
  </w:style>
  <w:style w:type="character" w:customStyle="1" w:styleId="ObjetducommentaireCar">
    <w:name w:val="Objet du commentaire Car"/>
    <w:basedOn w:val="CommentaireCar"/>
    <w:link w:val="Objetducommentaire"/>
    <w:uiPriority w:val="99"/>
    <w:semiHidden/>
    <w:rsid w:val="00E4206B"/>
    <w:rPr>
      <w:rFonts w:ascii="Times" w:hAnsi="Times"/>
      <w:b/>
      <w:bCs/>
      <w:sz w:val="24"/>
      <w:szCs w:val="24"/>
      <w:lang w:eastAsia="fr-FR"/>
    </w:rPr>
  </w:style>
  <w:style w:type="paragraph" w:styleId="Textedebulles">
    <w:name w:val="Balloon Text"/>
    <w:basedOn w:val="Normal"/>
    <w:link w:val="TextedebullesCar"/>
    <w:uiPriority w:val="99"/>
    <w:semiHidden/>
    <w:unhideWhenUsed/>
    <w:rsid w:val="00E4206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4206B"/>
    <w:rPr>
      <w:rFonts w:ascii="Lucida Grande" w:hAnsi="Lucida Grande" w:cs="Lucida Grande"/>
      <w:sz w:val="18"/>
      <w:szCs w:val="18"/>
      <w:lang w:eastAsia="fr-FR"/>
    </w:rPr>
  </w:style>
  <w:style w:type="paragraph" w:styleId="Notedebasdepage">
    <w:name w:val="footnote text"/>
    <w:basedOn w:val="Normal"/>
    <w:link w:val="NotedebasdepageCar"/>
    <w:uiPriority w:val="99"/>
    <w:unhideWhenUsed/>
    <w:rsid w:val="00E4206B"/>
  </w:style>
  <w:style w:type="character" w:customStyle="1" w:styleId="NotedebasdepageCar">
    <w:name w:val="Note de bas de page Car"/>
    <w:basedOn w:val="Policepardfaut"/>
    <w:link w:val="Notedebasdepage"/>
    <w:uiPriority w:val="99"/>
    <w:rsid w:val="00E4206B"/>
    <w:rPr>
      <w:rFonts w:ascii="Times" w:hAnsi="Times"/>
      <w:sz w:val="24"/>
      <w:szCs w:val="24"/>
      <w:lang w:eastAsia="fr-FR"/>
    </w:rPr>
  </w:style>
  <w:style w:type="character" w:styleId="Marquenotebasdepage">
    <w:name w:val="footnote reference"/>
    <w:basedOn w:val="Policepardfaut"/>
    <w:uiPriority w:val="99"/>
    <w:unhideWhenUsed/>
    <w:rsid w:val="00E4206B"/>
    <w:rPr>
      <w:vertAlign w:val="superscript"/>
    </w:rPr>
  </w:style>
  <w:style w:type="paragraph" w:styleId="Paragraphedeliste">
    <w:name w:val="List Paragraph"/>
    <w:basedOn w:val="Normal"/>
    <w:uiPriority w:val="34"/>
    <w:qFormat/>
    <w:rsid w:val="00E4206B"/>
    <w:pPr>
      <w:ind w:left="720"/>
      <w:contextualSpacing/>
    </w:pPr>
  </w:style>
  <w:style w:type="paragraph" w:styleId="Pieddepage">
    <w:name w:val="footer"/>
    <w:basedOn w:val="Normal"/>
    <w:link w:val="PieddepageCar"/>
    <w:uiPriority w:val="99"/>
    <w:unhideWhenUsed/>
    <w:rsid w:val="00341D4F"/>
    <w:pPr>
      <w:tabs>
        <w:tab w:val="center" w:pos="4536"/>
        <w:tab w:val="right" w:pos="9072"/>
      </w:tabs>
    </w:pPr>
  </w:style>
  <w:style w:type="character" w:customStyle="1" w:styleId="PieddepageCar">
    <w:name w:val="Pied de page Car"/>
    <w:basedOn w:val="Policepardfaut"/>
    <w:link w:val="Pieddepage"/>
    <w:uiPriority w:val="99"/>
    <w:rsid w:val="00341D4F"/>
    <w:rPr>
      <w:rFonts w:ascii="Times" w:hAnsi="Times"/>
      <w:szCs w:val="24"/>
      <w:lang w:eastAsia="fr-FR"/>
    </w:rPr>
  </w:style>
  <w:style w:type="character" w:styleId="Numrodepage">
    <w:name w:val="page number"/>
    <w:basedOn w:val="Policepardfaut"/>
    <w:uiPriority w:val="99"/>
    <w:semiHidden/>
    <w:unhideWhenUsed/>
    <w:rsid w:val="00341D4F"/>
  </w:style>
  <w:style w:type="paragraph" w:customStyle="1" w:styleId="Capsule">
    <w:name w:val="Capsule"/>
    <w:next w:val="Normal"/>
    <w:qFormat/>
    <w:rsid w:val="0074144F"/>
    <w:pPr>
      <w:numPr>
        <w:numId w:val="5"/>
      </w:numPr>
      <w:tabs>
        <w:tab w:val="left" w:pos="360"/>
        <w:tab w:val="left" w:pos="426"/>
      </w:tabs>
      <w:adjustRightInd w:val="0"/>
      <w:spacing w:after="200" w:line="0" w:lineRule="atLeast"/>
      <w:jc w:val="both"/>
      <w:outlineLvl w:val="8"/>
    </w:pPr>
    <w:rPr>
      <w:rFonts w:eastAsia="MS Mincho" w:cs="Calibri"/>
      <w:b/>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7659">
      <w:bodyDiv w:val="1"/>
      <w:marLeft w:val="0"/>
      <w:marRight w:val="0"/>
      <w:marTop w:val="0"/>
      <w:marBottom w:val="0"/>
      <w:divBdr>
        <w:top w:val="none" w:sz="0" w:space="0" w:color="auto"/>
        <w:left w:val="none" w:sz="0" w:space="0" w:color="auto"/>
        <w:bottom w:val="none" w:sz="0" w:space="0" w:color="auto"/>
        <w:right w:val="none" w:sz="0" w:space="0" w:color="auto"/>
      </w:divBdr>
      <w:divsChild>
        <w:div w:id="1235167915">
          <w:marLeft w:val="0"/>
          <w:marRight w:val="0"/>
          <w:marTop w:val="0"/>
          <w:marBottom w:val="0"/>
          <w:divBdr>
            <w:top w:val="none" w:sz="0" w:space="0" w:color="auto"/>
            <w:left w:val="none" w:sz="0" w:space="0" w:color="auto"/>
            <w:bottom w:val="none" w:sz="0" w:space="0" w:color="auto"/>
            <w:right w:val="none" w:sz="0" w:space="0" w:color="auto"/>
          </w:divBdr>
        </w:div>
        <w:div w:id="1993362137">
          <w:marLeft w:val="0"/>
          <w:marRight w:val="0"/>
          <w:marTop w:val="0"/>
          <w:marBottom w:val="0"/>
          <w:divBdr>
            <w:top w:val="none" w:sz="0" w:space="0" w:color="auto"/>
            <w:left w:val="none" w:sz="0" w:space="0" w:color="auto"/>
            <w:bottom w:val="none" w:sz="0" w:space="0" w:color="auto"/>
            <w:right w:val="none" w:sz="0" w:space="0" w:color="auto"/>
          </w:divBdr>
        </w:div>
        <w:div w:id="1978292125">
          <w:marLeft w:val="0"/>
          <w:marRight w:val="0"/>
          <w:marTop w:val="0"/>
          <w:marBottom w:val="0"/>
          <w:divBdr>
            <w:top w:val="none" w:sz="0" w:space="0" w:color="auto"/>
            <w:left w:val="none" w:sz="0" w:space="0" w:color="auto"/>
            <w:bottom w:val="none" w:sz="0" w:space="0" w:color="auto"/>
            <w:right w:val="none" w:sz="0" w:space="0" w:color="auto"/>
          </w:divBdr>
        </w:div>
        <w:div w:id="1441729358">
          <w:marLeft w:val="0"/>
          <w:marRight w:val="0"/>
          <w:marTop w:val="0"/>
          <w:marBottom w:val="0"/>
          <w:divBdr>
            <w:top w:val="none" w:sz="0" w:space="0" w:color="auto"/>
            <w:left w:val="none" w:sz="0" w:space="0" w:color="auto"/>
            <w:bottom w:val="none" w:sz="0" w:space="0" w:color="auto"/>
            <w:right w:val="none" w:sz="0" w:space="0" w:color="auto"/>
          </w:divBdr>
        </w:div>
        <w:div w:id="1085761235">
          <w:marLeft w:val="0"/>
          <w:marRight w:val="0"/>
          <w:marTop w:val="0"/>
          <w:marBottom w:val="0"/>
          <w:divBdr>
            <w:top w:val="none" w:sz="0" w:space="0" w:color="auto"/>
            <w:left w:val="none" w:sz="0" w:space="0" w:color="auto"/>
            <w:bottom w:val="none" w:sz="0" w:space="0" w:color="auto"/>
            <w:right w:val="none" w:sz="0" w:space="0" w:color="auto"/>
          </w:divBdr>
        </w:div>
        <w:div w:id="1537157546">
          <w:marLeft w:val="0"/>
          <w:marRight w:val="0"/>
          <w:marTop w:val="0"/>
          <w:marBottom w:val="0"/>
          <w:divBdr>
            <w:top w:val="none" w:sz="0" w:space="0" w:color="auto"/>
            <w:left w:val="none" w:sz="0" w:space="0" w:color="auto"/>
            <w:bottom w:val="none" w:sz="0" w:space="0" w:color="auto"/>
            <w:right w:val="none" w:sz="0" w:space="0" w:color="auto"/>
          </w:divBdr>
        </w:div>
        <w:div w:id="82647903">
          <w:marLeft w:val="0"/>
          <w:marRight w:val="0"/>
          <w:marTop w:val="0"/>
          <w:marBottom w:val="0"/>
          <w:divBdr>
            <w:top w:val="none" w:sz="0" w:space="0" w:color="auto"/>
            <w:left w:val="none" w:sz="0" w:space="0" w:color="auto"/>
            <w:bottom w:val="none" w:sz="0" w:space="0" w:color="auto"/>
            <w:right w:val="none" w:sz="0" w:space="0" w:color="auto"/>
          </w:divBdr>
        </w:div>
        <w:div w:id="203101294">
          <w:marLeft w:val="0"/>
          <w:marRight w:val="0"/>
          <w:marTop w:val="0"/>
          <w:marBottom w:val="0"/>
          <w:divBdr>
            <w:top w:val="none" w:sz="0" w:space="0" w:color="auto"/>
            <w:left w:val="none" w:sz="0" w:space="0" w:color="auto"/>
            <w:bottom w:val="none" w:sz="0" w:space="0" w:color="auto"/>
            <w:right w:val="none" w:sz="0" w:space="0" w:color="auto"/>
          </w:divBdr>
        </w:div>
        <w:div w:id="1519612026">
          <w:marLeft w:val="0"/>
          <w:marRight w:val="0"/>
          <w:marTop w:val="0"/>
          <w:marBottom w:val="0"/>
          <w:divBdr>
            <w:top w:val="none" w:sz="0" w:space="0" w:color="auto"/>
            <w:left w:val="none" w:sz="0" w:space="0" w:color="auto"/>
            <w:bottom w:val="none" w:sz="0" w:space="0" w:color="auto"/>
            <w:right w:val="none" w:sz="0" w:space="0" w:color="auto"/>
          </w:divBdr>
        </w:div>
        <w:div w:id="591089466">
          <w:marLeft w:val="0"/>
          <w:marRight w:val="0"/>
          <w:marTop w:val="0"/>
          <w:marBottom w:val="0"/>
          <w:divBdr>
            <w:top w:val="none" w:sz="0" w:space="0" w:color="auto"/>
            <w:left w:val="none" w:sz="0" w:space="0" w:color="auto"/>
            <w:bottom w:val="none" w:sz="0" w:space="0" w:color="auto"/>
            <w:right w:val="none" w:sz="0" w:space="0" w:color="auto"/>
          </w:divBdr>
        </w:div>
        <w:div w:id="2051683430">
          <w:marLeft w:val="0"/>
          <w:marRight w:val="0"/>
          <w:marTop w:val="0"/>
          <w:marBottom w:val="0"/>
          <w:divBdr>
            <w:top w:val="none" w:sz="0" w:space="0" w:color="auto"/>
            <w:left w:val="none" w:sz="0" w:space="0" w:color="auto"/>
            <w:bottom w:val="none" w:sz="0" w:space="0" w:color="auto"/>
            <w:right w:val="none" w:sz="0" w:space="0" w:color="auto"/>
          </w:divBdr>
        </w:div>
        <w:div w:id="1282802287">
          <w:marLeft w:val="0"/>
          <w:marRight w:val="0"/>
          <w:marTop w:val="0"/>
          <w:marBottom w:val="0"/>
          <w:divBdr>
            <w:top w:val="none" w:sz="0" w:space="0" w:color="auto"/>
            <w:left w:val="none" w:sz="0" w:space="0" w:color="auto"/>
            <w:bottom w:val="none" w:sz="0" w:space="0" w:color="auto"/>
            <w:right w:val="none" w:sz="0" w:space="0" w:color="auto"/>
          </w:divBdr>
        </w:div>
        <w:div w:id="1420446221">
          <w:marLeft w:val="0"/>
          <w:marRight w:val="0"/>
          <w:marTop w:val="0"/>
          <w:marBottom w:val="0"/>
          <w:divBdr>
            <w:top w:val="none" w:sz="0" w:space="0" w:color="auto"/>
            <w:left w:val="none" w:sz="0" w:space="0" w:color="auto"/>
            <w:bottom w:val="none" w:sz="0" w:space="0" w:color="auto"/>
            <w:right w:val="none" w:sz="0" w:space="0" w:color="auto"/>
          </w:divBdr>
        </w:div>
        <w:div w:id="1612545826">
          <w:marLeft w:val="0"/>
          <w:marRight w:val="0"/>
          <w:marTop w:val="0"/>
          <w:marBottom w:val="0"/>
          <w:divBdr>
            <w:top w:val="none" w:sz="0" w:space="0" w:color="auto"/>
            <w:left w:val="none" w:sz="0" w:space="0" w:color="auto"/>
            <w:bottom w:val="none" w:sz="0" w:space="0" w:color="auto"/>
            <w:right w:val="none" w:sz="0" w:space="0" w:color="auto"/>
          </w:divBdr>
        </w:div>
        <w:div w:id="1799496258">
          <w:marLeft w:val="0"/>
          <w:marRight w:val="0"/>
          <w:marTop w:val="0"/>
          <w:marBottom w:val="0"/>
          <w:divBdr>
            <w:top w:val="none" w:sz="0" w:space="0" w:color="auto"/>
            <w:left w:val="none" w:sz="0" w:space="0" w:color="auto"/>
            <w:bottom w:val="none" w:sz="0" w:space="0" w:color="auto"/>
            <w:right w:val="none" w:sz="0" w:space="0" w:color="auto"/>
          </w:divBdr>
        </w:div>
        <w:div w:id="1223103960">
          <w:marLeft w:val="0"/>
          <w:marRight w:val="0"/>
          <w:marTop w:val="0"/>
          <w:marBottom w:val="0"/>
          <w:divBdr>
            <w:top w:val="none" w:sz="0" w:space="0" w:color="auto"/>
            <w:left w:val="none" w:sz="0" w:space="0" w:color="auto"/>
            <w:bottom w:val="none" w:sz="0" w:space="0" w:color="auto"/>
            <w:right w:val="none" w:sz="0" w:space="0" w:color="auto"/>
          </w:divBdr>
        </w:div>
        <w:div w:id="214969710">
          <w:marLeft w:val="0"/>
          <w:marRight w:val="0"/>
          <w:marTop w:val="0"/>
          <w:marBottom w:val="0"/>
          <w:divBdr>
            <w:top w:val="none" w:sz="0" w:space="0" w:color="auto"/>
            <w:left w:val="none" w:sz="0" w:space="0" w:color="auto"/>
            <w:bottom w:val="none" w:sz="0" w:space="0" w:color="auto"/>
            <w:right w:val="none" w:sz="0" w:space="0" w:color="auto"/>
          </w:divBdr>
        </w:div>
        <w:div w:id="1810825269">
          <w:marLeft w:val="0"/>
          <w:marRight w:val="0"/>
          <w:marTop w:val="0"/>
          <w:marBottom w:val="0"/>
          <w:divBdr>
            <w:top w:val="none" w:sz="0" w:space="0" w:color="auto"/>
            <w:left w:val="none" w:sz="0" w:space="0" w:color="auto"/>
            <w:bottom w:val="none" w:sz="0" w:space="0" w:color="auto"/>
            <w:right w:val="none" w:sz="0" w:space="0" w:color="auto"/>
          </w:divBdr>
        </w:div>
        <w:div w:id="1808475779">
          <w:marLeft w:val="0"/>
          <w:marRight w:val="0"/>
          <w:marTop w:val="0"/>
          <w:marBottom w:val="0"/>
          <w:divBdr>
            <w:top w:val="none" w:sz="0" w:space="0" w:color="auto"/>
            <w:left w:val="none" w:sz="0" w:space="0" w:color="auto"/>
            <w:bottom w:val="none" w:sz="0" w:space="0" w:color="auto"/>
            <w:right w:val="none" w:sz="0" w:space="0" w:color="auto"/>
          </w:divBdr>
        </w:div>
        <w:div w:id="2107311110">
          <w:marLeft w:val="0"/>
          <w:marRight w:val="0"/>
          <w:marTop w:val="0"/>
          <w:marBottom w:val="0"/>
          <w:divBdr>
            <w:top w:val="none" w:sz="0" w:space="0" w:color="auto"/>
            <w:left w:val="none" w:sz="0" w:space="0" w:color="auto"/>
            <w:bottom w:val="none" w:sz="0" w:space="0" w:color="auto"/>
            <w:right w:val="none" w:sz="0" w:space="0" w:color="auto"/>
          </w:divBdr>
        </w:div>
        <w:div w:id="1564560997">
          <w:marLeft w:val="0"/>
          <w:marRight w:val="0"/>
          <w:marTop w:val="0"/>
          <w:marBottom w:val="0"/>
          <w:divBdr>
            <w:top w:val="none" w:sz="0" w:space="0" w:color="auto"/>
            <w:left w:val="none" w:sz="0" w:space="0" w:color="auto"/>
            <w:bottom w:val="none" w:sz="0" w:space="0" w:color="auto"/>
            <w:right w:val="none" w:sz="0" w:space="0" w:color="auto"/>
          </w:divBdr>
        </w:div>
      </w:divsChild>
    </w:div>
    <w:div w:id="19924430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819</TotalTime>
  <Pages>25</Pages>
  <Words>10547</Words>
  <Characters>52002</Characters>
  <Application>Microsoft Macintosh Word</Application>
  <DocSecurity>0</DocSecurity>
  <Lines>825</Lines>
  <Paragraphs>119</Paragraphs>
  <ScaleCrop>false</ScaleCrop>
  <Company/>
  <LinksUpToDate>false</LinksUpToDate>
  <CharactersWithSpaces>62430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sinfo fusl</dc:creator>
  <cp:keywords/>
  <dc:description/>
  <cp:lastModifiedBy>sinfo fusl</cp:lastModifiedBy>
  <cp:revision>4</cp:revision>
  <cp:lastPrinted>2017-11-10T12:49:00Z</cp:lastPrinted>
  <dcterms:created xsi:type="dcterms:W3CDTF">2016-11-28T23:16:00Z</dcterms:created>
  <dcterms:modified xsi:type="dcterms:W3CDTF">2017-11-17T07:55:00Z</dcterms:modified>
</cp:coreProperties>
</file>